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0D715" w14:textId="77777777" w:rsidR="0062794E" w:rsidRDefault="0062794E" w:rsidP="007D3974">
      <w:pPr>
        <w:pStyle w:val="CM12"/>
        <w:jc w:val="center"/>
        <w:rPr>
          <w:color w:val="000000"/>
        </w:rPr>
      </w:pPr>
    </w:p>
    <w:p w14:paraId="6F179A01" w14:textId="77777777" w:rsidR="00A04192" w:rsidRPr="006247C0" w:rsidRDefault="00A04192" w:rsidP="006247C0">
      <w:pPr>
        <w:pStyle w:val="CM14"/>
        <w:numPr>
          <w:ilvl w:val="0"/>
          <w:numId w:val="11"/>
        </w:numPr>
        <w:spacing w:after="252"/>
        <w:rPr>
          <w:b/>
          <w:bCs/>
        </w:rPr>
      </w:pPr>
      <w:r w:rsidRPr="006247C0">
        <w:rPr>
          <w:b/>
          <w:bCs/>
        </w:rPr>
        <w:t xml:space="preserve">General Provisions </w:t>
      </w:r>
    </w:p>
    <w:p w14:paraId="52436E53" w14:textId="77777777" w:rsidR="00A04192" w:rsidRPr="006247C0" w:rsidRDefault="006247C0" w:rsidP="006247C0">
      <w:pPr>
        <w:pStyle w:val="CM13"/>
        <w:numPr>
          <w:ilvl w:val="0"/>
          <w:numId w:val="8"/>
        </w:numPr>
        <w:spacing w:after="337"/>
      </w:pPr>
      <w:r w:rsidRPr="00DF56D6">
        <w:rPr>
          <w:color w:val="000000"/>
        </w:rPr>
        <w:t>This grant is subject to:</w:t>
      </w:r>
    </w:p>
    <w:p w14:paraId="7FEC5425" w14:textId="77777777" w:rsidR="00A04192" w:rsidRPr="00DF56D6" w:rsidRDefault="00A04192" w:rsidP="007D3974">
      <w:pPr>
        <w:pStyle w:val="Default"/>
        <w:numPr>
          <w:ilvl w:val="0"/>
          <w:numId w:val="6"/>
        </w:numPr>
        <w:spacing w:after="49"/>
        <w:rPr>
          <w:color w:val="auto"/>
        </w:rPr>
      </w:pPr>
      <w:r w:rsidRPr="00DF56D6">
        <w:rPr>
          <w:color w:val="auto"/>
        </w:rPr>
        <w:t xml:space="preserve">OMB Circular A-110, Uniform Administrative Requirements for Grants and Agreements with Institutions of Higher Education, Hospitals and Other Non-Profit Organizations; </w:t>
      </w:r>
    </w:p>
    <w:p w14:paraId="28650229" w14:textId="77777777" w:rsidR="00A04192" w:rsidRPr="00DF56D6" w:rsidRDefault="00A04192" w:rsidP="007D3974">
      <w:pPr>
        <w:pStyle w:val="Default"/>
        <w:numPr>
          <w:ilvl w:val="0"/>
          <w:numId w:val="6"/>
        </w:numPr>
        <w:spacing w:after="49"/>
        <w:rPr>
          <w:color w:val="auto"/>
        </w:rPr>
      </w:pPr>
      <w:r w:rsidRPr="00DF56D6">
        <w:rPr>
          <w:color w:val="auto"/>
        </w:rPr>
        <w:t xml:space="preserve">OMB Circular A-133, Audits of States, Local Governments and Non-Profit Institutions; </w:t>
      </w:r>
    </w:p>
    <w:p w14:paraId="461095F7" w14:textId="77777777" w:rsidR="00A04192" w:rsidRPr="00DF56D6" w:rsidRDefault="00A04192" w:rsidP="007D3974">
      <w:pPr>
        <w:pStyle w:val="Default"/>
        <w:numPr>
          <w:ilvl w:val="0"/>
          <w:numId w:val="6"/>
        </w:numPr>
        <w:spacing w:after="49"/>
        <w:rPr>
          <w:color w:val="auto"/>
        </w:rPr>
      </w:pPr>
      <w:r w:rsidRPr="00DF56D6">
        <w:rPr>
          <w:color w:val="auto"/>
        </w:rPr>
        <w:t xml:space="preserve">Government-wide Debarment and Suspension (Non procurement), codified at 21 CFR § 1401 et. seq.; </w:t>
      </w:r>
    </w:p>
    <w:p w14:paraId="055611FB" w14:textId="77777777" w:rsidR="00A04192" w:rsidRPr="00DF56D6" w:rsidRDefault="00A04192" w:rsidP="007D3974">
      <w:pPr>
        <w:pStyle w:val="Default"/>
        <w:numPr>
          <w:ilvl w:val="0"/>
          <w:numId w:val="6"/>
        </w:numPr>
        <w:spacing w:after="49"/>
        <w:rPr>
          <w:color w:val="auto"/>
        </w:rPr>
      </w:pPr>
      <w:r w:rsidRPr="00DF56D6">
        <w:rPr>
          <w:color w:val="auto"/>
        </w:rPr>
        <w:t xml:space="preserve">Government-wide Requirements for Drug-Free Workplace (Grants), codified at 21 CFR § 1401 et. seq.; </w:t>
      </w:r>
    </w:p>
    <w:p w14:paraId="51FC7737" w14:textId="77777777" w:rsidR="00A04192" w:rsidRPr="00DF56D6" w:rsidRDefault="00A04192" w:rsidP="007D3974">
      <w:pPr>
        <w:pStyle w:val="Default"/>
        <w:numPr>
          <w:ilvl w:val="0"/>
          <w:numId w:val="6"/>
        </w:numPr>
        <w:spacing w:after="49"/>
        <w:rPr>
          <w:color w:val="auto"/>
        </w:rPr>
      </w:pPr>
      <w:r w:rsidRPr="00DF56D6">
        <w:rPr>
          <w:color w:val="auto"/>
        </w:rPr>
        <w:t xml:space="preserve">New Restrictions on Lobbying, codified at 18 USC § 1903 and 31 USC § 1352; </w:t>
      </w:r>
    </w:p>
    <w:p w14:paraId="5D765930" w14:textId="77777777" w:rsidR="00B97AE4" w:rsidRPr="00DF56D6" w:rsidRDefault="00A04192" w:rsidP="007D3974">
      <w:pPr>
        <w:pStyle w:val="Default"/>
        <w:numPr>
          <w:ilvl w:val="0"/>
          <w:numId w:val="6"/>
        </w:numPr>
        <w:spacing w:after="49"/>
        <w:rPr>
          <w:color w:val="auto"/>
        </w:rPr>
      </w:pPr>
      <w:r w:rsidRPr="00DF56D6">
        <w:rPr>
          <w:color w:val="auto"/>
        </w:rPr>
        <w:t xml:space="preserve">Nondiscrimination in Federally Assisted Programs and Equal Opportunity Plans requirements are codified at USC, Title VI (42 USC § 2000d et seq.); and </w:t>
      </w:r>
    </w:p>
    <w:p w14:paraId="204868F8" w14:textId="77777777" w:rsidR="00A04192" w:rsidRPr="00DF56D6" w:rsidRDefault="00A04192" w:rsidP="007D3974">
      <w:pPr>
        <w:pStyle w:val="Default"/>
        <w:numPr>
          <w:ilvl w:val="0"/>
          <w:numId w:val="6"/>
        </w:numPr>
        <w:spacing w:after="49"/>
        <w:rPr>
          <w:color w:val="auto"/>
        </w:rPr>
      </w:pPr>
      <w:r w:rsidRPr="00DF56D6">
        <w:rPr>
          <w:color w:val="auto"/>
        </w:rPr>
        <w:t>Immigration and Naturalization Service Employment Eligibility Verification Form (I-9).</w:t>
      </w:r>
    </w:p>
    <w:p w14:paraId="14EFC677" w14:textId="77777777" w:rsidR="007D3974" w:rsidRPr="00DF56D6" w:rsidRDefault="007D3974" w:rsidP="007D3974">
      <w:pPr>
        <w:pStyle w:val="Default"/>
        <w:spacing w:after="49"/>
        <w:ind w:left="1080"/>
        <w:rPr>
          <w:color w:val="auto"/>
        </w:rPr>
      </w:pPr>
    </w:p>
    <w:p w14:paraId="4D9D8AF0" w14:textId="77777777" w:rsidR="00A04192" w:rsidRPr="00DF56D6" w:rsidRDefault="00A04192" w:rsidP="007D3974">
      <w:pPr>
        <w:pStyle w:val="CM13"/>
        <w:numPr>
          <w:ilvl w:val="0"/>
          <w:numId w:val="8"/>
        </w:numPr>
        <w:spacing w:after="337"/>
      </w:pPr>
      <w:r w:rsidRPr="00DF56D6">
        <w:t xml:space="preserve">Audits conducted pursuant to OMB Circular A-133, “Audits of State and Local Governments”, must be submitted no later than 9 months after the close of the grantee’s audited fiscal year. </w:t>
      </w:r>
      <w:r w:rsidR="0053165D" w:rsidRPr="00DF56D6">
        <w:t xml:space="preserve"> </w:t>
      </w:r>
      <w:r w:rsidRPr="00DF56D6">
        <w:t xml:space="preserve">A copy of the audit report and management letter must be sent to: </w:t>
      </w:r>
    </w:p>
    <w:p w14:paraId="2FE7EC82" w14:textId="77777777" w:rsidR="00CD7A6C" w:rsidRPr="00DF56D6" w:rsidRDefault="00A04192" w:rsidP="007D3974">
      <w:pPr>
        <w:pStyle w:val="Default"/>
        <w:ind w:left="691"/>
      </w:pPr>
      <w:r w:rsidRPr="00DF56D6">
        <w:t xml:space="preserve">EOP/ONDCP Attention: </w:t>
      </w:r>
    </w:p>
    <w:p w14:paraId="6F691077" w14:textId="77777777" w:rsidR="00CD7A6C" w:rsidRPr="00DF56D6" w:rsidRDefault="00A04192" w:rsidP="007D3974">
      <w:pPr>
        <w:pStyle w:val="Default"/>
        <w:ind w:left="691"/>
      </w:pPr>
      <w:r w:rsidRPr="00DF56D6">
        <w:t xml:space="preserve">Michael Reles GSD/RDF (202) 395-6608 </w:t>
      </w:r>
    </w:p>
    <w:p w14:paraId="2CA98BE2" w14:textId="77777777" w:rsidR="00CD7A6C" w:rsidRPr="00DF56D6" w:rsidRDefault="00A04192" w:rsidP="007D3974">
      <w:pPr>
        <w:pStyle w:val="Default"/>
        <w:ind w:left="691"/>
      </w:pPr>
      <w:r w:rsidRPr="00DF56D6">
        <w:t xml:space="preserve">Anacostia Naval Annex </w:t>
      </w:r>
      <w:r w:rsidR="0062794E" w:rsidRPr="00DF56D6">
        <w:t>Bldg.</w:t>
      </w:r>
      <w:r w:rsidRPr="00DF56D6">
        <w:t xml:space="preserve"> 410/Door 123 </w:t>
      </w:r>
    </w:p>
    <w:p w14:paraId="7F68313E" w14:textId="77777777" w:rsidR="00CD7A6C" w:rsidRPr="00DF56D6" w:rsidRDefault="00A04192" w:rsidP="007D3974">
      <w:pPr>
        <w:pStyle w:val="Default"/>
        <w:ind w:left="691"/>
      </w:pPr>
      <w:r w:rsidRPr="00DF56D6">
        <w:t xml:space="preserve">250 Murray Lane, SW </w:t>
      </w:r>
    </w:p>
    <w:p w14:paraId="5B36170D" w14:textId="77777777" w:rsidR="00CD7A6C" w:rsidRPr="00DF56D6" w:rsidRDefault="00A04192" w:rsidP="007D3974">
      <w:pPr>
        <w:pStyle w:val="Default"/>
        <w:ind w:left="691"/>
      </w:pPr>
      <w:r w:rsidRPr="00DF56D6">
        <w:t xml:space="preserve">Washington, DC 20509 </w:t>
      </w:r>
    </w:p>
    <w:p w14:paraId="451F2D8E" w14:textId="77777777" w:rsidR="00A04192" w:rsidRPr="00437AA1" w:rsidRDefault="00A04192" w:rsidP="007D3974">
      <w:pPr>
        <w:pStyle w:val="Default"/>
        <w:spacing w:before="120"/>
        <w:ind w:left="691"/>
      </w:pPr>
      <w:r w:rsidRPr="00437AA1">
        <w:t xml:space="preserve">or: mreles@ondcp.eop.gov </w:t>
      </w:r>
    </w:p>
    <w:p w14:paraId="582386A3" w14:textId="77777777" w:rsidR="007D3974" w:rsidRPr="00437AA1" w:rsidRDefault="007D3974" w:rsidP="007D3974">
      <w:pPr>
        <w:pStyle w:val="Default"/>
        <w:spacing w:before="120"/>
        <w:ind w:left="691"/>
      </w:pPr>
    </w:p>
    <w:p w14:paraId="65F10430" w14:textId="77777777" w:rsidR="002A27BF" w:rsidRPr="00437AA1" w:rsidRDefault="00A04192" w:rsidP="00437AA1">
      <w:pPr>
        <w:pStyle w:val="ListParagraph"/>
        <w:numPr>
          <w:ilvl w:val="0"/>
          <w:numId w:val="8"/>
        </w:numPr>
        <w:tabs>
          <w:tab w:val="left" w:pos="720"/>
        </w:tabs>
        <w:spacing w:after="240"/>
        <w:rPr>
          <w:rFonts w:ascii="Times New Roman" w:hAnsi="Times New Roman"/>
          <w:sz w:val="24"/>
          <w:szCs w:val="24"/>
        </w:rPr>
      </w:pPr>
      <w:r w:rsidRPr="00437AA1">
        <w:rPr>
          <w:rFonts w:ascii="Times New Roman" w:hAnsi="Times New Roman"/>
          <w:sz w:val="24"/>
          <w:szCs w:val="24"/>
        </w:rPr>
        <w:t xml:space="preserve">Grantees are required to submit Federal Financial Reports (FFR) to the Department of Health and Human Services, Division of Payment Management (HHS/DPM). </w:t>
      </w:r>
      <w:r w:rsidR="0053165D" w:rsidRPr="00437AA1">
        <w:rPr>
          <w:rFonts w:ascii="Times New Roman" w:hAnsi="Times New Roman"/>
          <w:sz w:val="24"/>
          <w:szCs w:val="24"/>
        </w:rPr>
        <w:t xml:space="preserve"> </w:t>
      </w:r>
      <w:r w:rsidR="00437AA1" w:rsidRPr="00437AA1">
        <w:rPr>
          <w:rFonts w:ascii="Times New Roman" w:hAnsi="Times New Roman"/>
          <w:sz w:val="24"/>
          <w:szCs w:val="24"/>
        </w:rPr>
        <w:t>Federal Financial Report is required to be submitted quarterly and within 90 days after the grant is closed out.</w:t>
      </w:r>
      <w:r w:rsidR="00437AA1">
        <w:t xml:space="preserve">  </w:t>
      </w:r>
      <w:r w:rsidR="00437AA1" w:rsidRPr="00437AA1">
        <w:rPr>
          <w:rFonts w:ascii="Times New Roman" w:hAnsi="Times New Roman"/>
          <w:sz w:val="24"/>
          <w:szCs w:val="24"/>
        </w:rPr>
        <w:t>Program income must be accounted for and reported on the Federal Financial Report.</w:t>
      </w:r>
    </w:p>
    <w:p w14:paraId="6A3A91A2" w14:textId="77777777" w:rsidR="00A04192" w:rsidRPr="00437AA1" w:rsidRDefault="00A04192" w:rsidP="007D3974">
      <w:pPr>
        <w:pStyle w:val="Default"/>
        <w:numPr>
          <w:ilvl w:val="0"/>
          <w:numId w:val="8"/>
        </w:numPr>
        <w:spacing w:after="240"/>
      </w:pPr>
      <w:r w:rsidRPr="00437AA1">
        <w:t>The recipient gives the awarding agency or the Government Accountability Office, through any authorized representative, access to, and the right to examine, all paper or electronic records related to the grant.</w:t>
      </w:r>
    </w:p>
    <w:p w14:paraId="63F1D8C7" w14:textId="77777777" w:rsidR="00A04192" w:rsidRDefault="00A04192" w:rsidP="00437AA1">
      <w:pPr>
        <w:pStyle w:val="Default"/>
        <w:numPr>
          <w:ilvl w:val="0"/>
          <w:numId w:val="8"/>
        </w:numPr>
      </w:pPr>
      <w:r w:rsidRPr="00437AA1">
        <w:t xml:space="preserve">Recipients of </w:t>
      </w:r>
      <w:r w:rsidR="002A27BF" w:rsidRPr="00437AA1">
        <w:t>OFDCP</w:t>
      </w:r>
      <w:r w:rsidRPr="00437AA1">
        <w:t xml:space="preserve"> funds are not agents of ONDCP.</w:t>
      </w:r>
      <w:r w:rsidR="0053165D" w:rsidRPr="00437AA1">
        <w:t xml:space="preserve"> </w:t>
      </w:r>
      <w:r w:rsidRPr="00437AA1">
        <w:t xml:space="preserve"> Accordingly, the </w:t>
      </w:r>
      <w:r w:rsidR="002A27BF" w:rsidRPr="00437AA1">
        <w:t>grantee</w:t>
      </w:r>
      <w:r w:rsidRPr="00437AA1">
        <w:t xml:space="preserve">, its fiscal agent(s), employees, contractors, as well as state, local, and federal participants, either on a collective basis or on a personal level, shall not hold themselves out as being </w:t>
      </w:r>
      <w:r w:rsidRPr="00437AA1">
        <w:lastRenderedPageBreak/>
        <w:t xml:space="preserve">part of, or representing, the Executive Office of the President or ONDCP. </w:t>
      </w:r>
    </w:p>
    <w:p w14:paraId="50163DD5" w14:textId="77777777" w:rsidR="00EA12D5" w:rsidRDefault="00EA12D5" w:rsidP="00EA12D5">
      <w:pPr>
        <w:pStyle w:val="Default"/>
        <w:ind w:left="763"/>
      </w:pPr>
    </w:p>
    <w:p w14:paraId="004EF1AB" w14:textId="563D4A3D" w:rsidR="00EA12D5" w:rsidRDefault="00EA12D5" w:rsidP="00EA12D5">
      <w:pPr>
        <w:pStyle w:val="PlainText"/>
        <w:numPr>
          <w:ilvl w:val="0"/>
          <w:numId w:val="8"/>
        </w:numPr>
      </w:pPr>
      <w:r w:rsidRPr="00EA12D5">
        <w:rPr>
          <w:b/>
          <w:bCs/>
        </w:rPr>
        <w:t xml:space="preserve">Grantees and subgrantees are advised of the new OMB grants “supercircular,” </w:t>
      </w:r>
      <w:r w:rsidRPr="00EA12D5">
        <w:rPr>
          <w:b/>
          <w:bCs/>
          <w:i/>
          <w:iCs/>
        </w:rPr>
        <w:t>Uniform Administrative Requirements, Cost Principles, and Audit Requirements for Federal Awards</w:t>
      </w:r>
      <w:r w:rsidRPr="00EA12D5">
        <w:rPr>
          <w:b/>
          <w:bCs/>
        </w:rPr>
        <w:t xml:space="preserve">, some provisions of which may begin to supersede the provisions </w:t>
      </w:r>
      <w:r w:rsidR="0055230F">
        <w:rPr>
          <w:b/>
          <w:bCs/>
        </w:rPr>
        <w:t xml:space="preserve">of </w:t>
      </w:r>
      <w:r w:rsidRPr="00EA12D5">
        <w:rPr>
          <w:b/>
          <w:bCs/>
        </w:rPr>
        <w:t xml:space="preserve">pre-existing OMB grants circulars over the term of this grant. </w:t>
      </w:r>
      <w:r w:rsidR="00ED2868">
        <w:rPr>
          <w:b/>
          <w:bCs/>
        </w:rPr>
        <w:t xml:space="preserve"> </w:t>
      </w:r>
      <w:r w:rsidRPr="00EA12D5">
        <w:rPr>
          <w:b/>
          <w:bCs/>
        </w:rPr>
        <w:t xml:space="preserve">ONDCP will also be adopting conforming regulations in 2014. </w:t>
      </w:r>
      <w:r w:rsidR="00ED2868">
        <w:rPr>
          <w:b/>
          <w:bCs/>
        </w:rPr>
        <w:t xml:space="preserve"> </w:t>
      </w:r>
      <w:r w:rsidRPr="00EA12D5">
        <w:rPr>
          <w:b/>
          <w:bCs/>
        </w:rPr>
        <w:t xml:space="preserve">ONDCP will provide you with updates moving forward. </w:t>
      </w:r>
      <w:r w:rsidR="00ED2868">
        <w:rPr>
          <w:b/>
          <w:bCs/>
        </w:rPr>
        <w:t xml:space="preserve"> </w:t>
      </w:r>
      <w:r w:rsidRPr="00EA12D5">
        <w:rPr>
          <w:b/>
          <w:bCs/>
        </w:rPr>
        <w:t xml:space="preserve">For more information about the supercircular, please visit </w:t>
      </w:r>
      <w:hyperlink r:id="rId8" w:history="1">
        <w:r w:rsidRPr="00EA12D5">
          <w:rPr>
            <w:rStyle w:val="Hyperlink"/>
            <w:b/>
            <w:bCs/>
          </w:rPr>
          <w:t>www.cfo.gov/COFAR</w:t>
        </w:r>
      </w:hyperlink>
      <w:r>
        <w:rPr>
          <w:rStyle w:val="Strong"/>
        </w:rPr>
        <w:t>, which includes links to related online training and FAQs.</w:t>
      </w:r>
    </w:p>
    <w:p w14:paraId="6F99E610" w14:textId="77777777" w:rsidR="00EA12D5" w:rsidRPr="00437AA1" w:rsidRDefault="00EA12D5" w:rsidP="00EA12D5">
      <w:pPr>
        <w:pStyle w:val="Default"/>
      </w:pPr>
    </w:p>
    <w:p w14:paraId="7E1BF5D0" w14:textId="77777777" w:rsidR="00A04192" w:rsidRPr="00437AA1" w:rsidRDefault="00A04192">
      <w:pPr>
        <w:pStyle w:val="Default"/>
      </w:pPr>
    </w:p>
    <w:p w14:paraId="11B21A7C" w14:textId="77777777" w:rsidR="00650434" w:rsidRPr="00437AA1" w:rsidRDefault="00A04192" w:rsidP="000A2A1E">
      <w:pPr>
        <w:pStyle w:val="CM14"/>
        <w:spacing w:after="252"/>
        <w:rPr>
          <w:b/>
          <w:bCs/>
        </w:rPr>
      </w:pPr>
      <w:r w:rsidRPr="00437AA1">
        <w:rPr>
          <w:b/>
          <w:bCs/>
        </w:rPr>
        <w:t xml:space="preserve">B. </w:t>
      </w:r>
      <w:r w:rsidR="007D3974" w:rsidRPr="00437AA1">
        <w:rPr>
          <w:b/>
          <w:bCs/>
        </w:rPr>
        <w:t xml:space="preserve"> </w:t>
      </w:r>
      <w:r w:rsidRPr="00437AA1">
        <w:rPr>
          <w:b/>
          <w:bCs/>
        </w:rPr>
        <w:t xml:space="preserve">Special Conditions </w:t>
      </w:r>
    </w:p>
    <w:p w14:paraId="78AECC81" w14:textId="77777777" w:rsidR="00437AA1" w:rsidRPr="00437AA1" w:rsidRDefault="00437AA1" w:rsidP="00437AA1">
      <w:pPr>
        <w:numPr>
          <w:ilvl w:val="0"/>
          <w:numId w:val="12"/>
        </w:numPr>
        <w:rPr>
          <w:rFonts w:ascii="Times New Roman" w:hAnsi="Times New Roman"/>
          <w:sz w:val="24"/>
          <w:szCs w:val="24"/>
        </w:rPr>
      </w:pPr>
      <w:r w:rsidRPr="00437AA1">
        <w:rPr>
          <w:rFonts w:ascii="Times New Roman" w:hAnsi="Times New Roman"/>
          <w:sz w:val="24"/>
          <w:szCs w:val="24"/>
        </w:rPr>
        <w:t>The grantee organization is legally and financially responsible for all aspects of this grant, including funds provided to sub-recipients.</w:t>
      </w:r>
    </w:p>
    <w:p w14:paraId="64E85950" w14:textId="77777777" w:rsidR="00437AA1" w:rsidRPr="00437AA1" w:rsidRDefault="00437AA1" w:rsidP="00437AA1">
      <w:pPr>
        <w:ind w:left="360"/>
        <w:rPr>
          <w:rFonts w:ascii="Times New Roman" w:hAnsi="Times New Roman"/>
          <w:sz w:val="24"/>
          <w:szCs w:val="24"/>
        </w:rPr>
      </w:pPr>
    </w:p>
    <w:p w14:paraId="40B733FE" w14:textId="77777777" w:rsidR="00437AA1" w:rsidRDefault="00437AA1" w:rsidP="00437AA1">
      <w:pPr>
        <w:numPr>
          <w:ilvl w:val="0"/>
          <w:numId w:val="12"/>
        </w:numPr>
        <w:tabs>
          <w:tab w:val="left" w:pos="720"/>
        </w:tabs>
        <w:rPr>
          <w:rFonts w:ascii="Times New Roman" w:hAnsi="Times New Roman"/>
          <w:sz w:val="24"/>
          <w:szCs w:val="24"/>
        </w:rPr>
      </w:pPr>
      <w:r w:rsidRPr="00437AA1">
        <w:rPr>
          <w:rFonts w:ascii="Times New Roman" w:hAnsi="Times New Roman"/>
          <w:sz w:val="24"/>
          <w:szCs w:val="24"/>
        </w:rPr>
        <w:t>Grant funds cannot be used to supplant current funding of existing activities.</w:t>
      </w:r>
    </w:p>
    <w:p w14:paraId="4F52809F" w14:textId="77777777" w:rsidR="00F80848" w:rsidRDefault="00F80848" w:rsidP="00242BA4">
      <w:pPr>
        <w:pStyle w:val="ListParagraph"/>
        <w:rPr>
          <w:rFonts w:ascii="Times New Roman" w:hAnsi="Times New Roman"/>
          <w:sz w:val="24"/>
          <w:szCs w:val="24"/>
        </w:rPr>
      </w:pPr>
    </w:p>
    <w:p w14:paraId="2B1D3C70" w14:textId="77777777" w:rsidR="00F80848" w:rsidRDefault="00F80848" w:rsidP="00437AA1">
      <w:pPr>
        <w:numPr>
          <w:ilvl w:val="0"/>
          <w:numId w:val="12"/>
        </w:numPr>
        <w:tabs>
          <w:tab w:val="left" w:pos="720"/>
        </w:tabs>
        <w:rPr>
          <w:rFonts w:ascii="Times New Roman" w:hAnsi="Times New Roman"/>
          <w:sz w:val="24"/>
          <w:szCs w:val="24"/>
        </w:rPr>
      </w:pPr>
      <w:r>
        <w:rPr>
          <w:rFonts w:ascii="Times New Roman" w:hAnsi="Times New Roman"/>
          <w:sz w:val="24"/>
          <w:szCs w:val="24"/>
        </w:rPr>
        <w:t>All program authority and responsibility inherent in the Federal stewardship role shall remain with the Office of National Drug Control Policy (ONDCP).  ONDCP will work in conjunction with the recipient to routinely review and refine the work plan so that the program’s goals and objectives can be effectively accomplished.  ONDCP will monitor the project on a continual basis by maintaining ongoing contact with the recipient and will provide input to the program’s direction, in consultation with the recipient, as needed.</w:t>
      </w:r>
    </w:p>
    <w:p w14:paraId="1BA46503" w14:textId="77777777" w:rsidR="00F80848" w:rsidRDefault="00F80848" w:rsidP="00242BA4">
      <w:pPr>
        <w:pStyle w:val="ListParagraph"/>
        <w:rPr>
          <w:rFonts w:ascii="Times New Roman" w:hAnsi="Times New Roman"/>
          <w:sz w:val="24"/>
          <w:szCs w:val="24"/>
        </w:rPr>
      </w:pPr>
    </w:p>
    <w:p w14:paraId="0CC3F325" w14:textId="77777777" w:rsidR="00F80848" w:rsidRDefault="00F80848" w:rsidP="00437AA1">
      <w:pPr>
        <w:numPr>
          <w:ilvl w:val="0"/>
          <w:numId w:val="12"/>
        </w:numPr>
        <w:tabs>
          <w:tab w:val="left" w:pos="720"/>
        </w:tabs>
        <w:rPr>
          <w:rFonts w:ascii="Times New Roman" w:hAnsi="Times New Roman"/>
          <w:sz w:val="24"/>
          <w:szCs w:val="24"/>
        </w:rPr>
      </w:pPr>
      <w:r>
        <w:rPr>
          <w:rFonts w:ascii="Times New Roman" w:hAnsi="Times New Roman"/>
          <w:sz w:val="24"/>
          <w:szCs w:val="24"/>
        </w:rPr>
        <w:t>The recipient agrees to submit to ONDCP for review and approval any curricula, training materials, proposed publications, reports, or any other written materials that will be</w:t>
      </w:r>
      <w:r w:rsidR="00242BA4">
        <w:rPr>
          <w:rFonts w:ascii="Times New Roman" w:hAnsi="Times New Roman"/>
          <w:sz w:val="24"/>
          <w:szCs w:val="24"/>
        </w:rPr>
        <w:t xml:space="preserve"> </w:t>
      </w:r>
      <w:r>
        <w:rPr>
          <w:rFonts w:ascii="Times New Roman" w:hAnsi="Times New Roman"/>
          <w:sz w:val="24"/>
          <w:szCs w:val="24"/>
        </w:rPr>
        <w:t>published, including web-based materials and web</w:t>
      </w:r>
      <w:r w:rsidR="00CD7DFC">
        <w:rPr>
          <w:rFonts w:ascii="Times New Roman" w:hAnsi="Times New Roman"/>
          <w:sz w:val="24"/>
          <w:szCs w:val="24"/>
        </w:rPr>
        <w:t xml:space="preserve"> </w:t>
      </w:r>
      <w:r>
        <w:rPr>
          <w:rFonts w:ascii="Times New Roman" w:hAnsi="Times New Roman"/>
          <w:sz w:val="24"/>
          <w:szCs w:val="24"/>
        </w:rPr>
        <w:t xml:space="preserve">site content, through funds from this grant, at least thirty (30) working days prior to the targeted dissemination date.  Any written, visual or audio publications, with the exception of press releases, whether published at the grantee’s or government’s expense, shall contain the following statements: “This project was supported by Grant No. </w:t>
      </w:r>
      <w:r w:rsidR="006063BB">
        <w:rPr>
          <w:rFonts w:ascii="Times New Roman" w:hAnsi="Times New Roman"/>
          <w:sz w:val="24"/>
          <w:szCs w:val="24"/>
        </w:rPr>
        <w:t>G1399ONDCP03A</w:t>
      </w:r>
      <w:r w:rsidR="008F3DEF">
        <w:rPr>
          <w:rFonts w:ascii="Times New Roman" w:hAnsi="Times New Roman"/>
          <w:sz w:val="24"/>
          <w:szCs w:val="24"/>
        </w:rPr>
        <w:t xml:space="preserve">, </w:t>
      </w:r>
      <w:r>
        <w:rPr>
          <w:rFonts w:ascii="Times New Roman" w:hAnsi="Times New Roman"/>
          <w:sz w:val="24"/>
          <w:szCs w:val="24"/>
        </w:rPr>
        <w:t>awarded by the Office of National Drug Control Policy.  Points of view or opinions in this document are those of the author</w:t>
      </w:r>
      <w:r w:rsidR="00CD7DFC">
        <w:rPr>
          <w:rFonts w:ascii="Times New Roman" w:hAnsi="Times New Roman"/>
          <w:sz w:val="24"/>
          <w:szCs w:val="24"/>
        </w:rPr>
        <w:t xml:space="preserve"> and do not necessarily represent the official position or policies of the Office of National Drug Control Policy or the United States Government.”</w:t>
      </w:r>
    </w:p>
    <w:p w14:paraId="545377C1" w14:textId="77777777" w:rsidR="00CD7DFC" w:rsidRDefault="00CD7DFC" w:rsidP="00242BA4">
      <w:pPr>
        <w:pStyle w:val="ListParagraph"/>
        <w:rPr>
          <w:rFonts w:ascii="Times New Roman" w:hAnsi="Times New Roman"/>
          <w:sz w:val="24"/>
          <w:szCs w:val="24"/>
        </w:rPr>
      </w:pPr>
    </w:p>
    <w:p w14:paraId="2126127D" w14:textId="77777777" w:rsidR="00CD7DFC" w:rsidRDefault="00CD7DFC" w:rsidP="00437AA1">
      <w:pPr>
        <w:numPr>
          <w:ilvl w:val="0"/>
          <w:numId w:val="12"/>
        </w:numPr>
        <w:tabs>
          <w:tab w:val="left" w:pos="720"/>
        </w:tabs>
        <w:rPr>
          <w:rFonts w:ascii="Times New Roman" w:hAnsi="Times New Roman"/>
          <w:sz w:val="24"/>
          <w:szCs w:val="24"/>
        </w:rPr>
      </w:pPr>
      <w:r>
        <w:rPr>
          <w:rFonts w:ascii="Times New Roman" w:hAnsi="Times New Roman"/>
          <w:sz w:val="24"/>
          <w:szCs w:val="24"/>
        </w:rPr>
        <w:t>Any web site that is funded in whole or in part under this award must include the following statement on the home page, on all major entry pages (i.e., pages (exclusive of documents) whose primary purpose is to navigate the user to interior content), and on any pages from which a visitor may access or use a Web-based service, including any pages that provide results or outputs from the service:</w:t>
      </w:r>
    </w:p>
    <w:p w14:paraId="4CA0040D" w14:textId="77777777" w:rsidR="00CD7DFC" w:rsidRDefault="00CD7DFC" w:rsidP="00242BA4">
      <w:pPr>
        <w:pStyle w:val="ListParagraph"/>
        <w:rPr>
          <w:rFonts w:ascii="Times New Roman" w:hAnsi="Times New Roman"/>
          <w:sz w:val="24"/>
          <w:szCs w:val="24"/>
        </w:rPr>
      </w:pPr>
    </w:p>
    <w:p w14:paraId="31C83ADE" w14:textId="77777777" w:rsidR="00CD7DFC" w:rsidRDefault="00CD7DFC" w:rsidP="00242BA4">
      <w:pPr>
        <w:ind w:left="720"/>
        <w:rPr>
          <w:rFonts w:ascii="Times New Roman" w:hAnsi="Times New Roman"/>
          <w:sz w:val="24"/>
          <w:szCs w:val="24"/>
        </w:rPr>
      </w:pPr>
      <w:r>
        <w:rPr>
          <w:rFonts w:ascii="Times New Roman" w:hAnsi="Times New Roman"/>
          <w:sz w:val="24"/>
          <w:szCs w:val="24"/>
        </w:rPr>
        <w:t xml:space="preserve">“This Web site is funded [insert “in part,” if applicable] from a grant from the Office of National Drug Control Policy.  Neither the Office of National Drug Control Policy, nor any other Federal instrumentality operate, control, are responsible for, or necessarily </w:t>
      </w:r>
      <w:r>
        <w:rPr>
          <w:rFonts w:ascii="Times New Roman" w:hAnsi="Times New Roman"/>
          <w:sz w:val="24"/>
          <w:szCs w:val="24"/>
        </w:rPr>
        <w:lastRenderedPageBreak/>
        <w:t>endorse this Web site (including without limitation, its content, technical infrastructure, and policies, and any services or tools provided).”</w:t>
      </w:r>
    </w:p>
    <w:p w14:paraId="69872FD0" w14:textId="77777777" w:rsidR="00CD7DFC" w:rsidRDefault="00CD7DFC" w:rsidP="00242BA4">
      <w:pPr>
        <w:rPr>
          <w:rFonts w:ascii="Times New Roman" w:hAnsi="Times New Roman"/>
          <w:sz w:val="24"/>
          <w:szCs w:val="24"/>
        </w:rPr>
      </w:pPr>
    </w:p>
    <w:p w14:paraId="02421E40" w14:textId="77777777" w:rsidR="00A850D0" w:rsidRDefault="00A850D0" w:rsidP="006247C0">
      <w:pPr>
        <w:ind w:firstLine="720"/>
        <w:rPr>
          <w:rFonts w:ascii="Times New Roman" w:hAnsi="Times New Roman"/>
          <w:sz w:val="24"/>
          <w:szCs w:val="24"/>
        </w:rPr>
      </w:pPr>
      <w:r>
        <w:rPr>
          <w:rFonts w:ascii="Times New Roman" w:hAnsi="Times New Roman"/>
          <w:sz w:val="24"/>
          <w:szCs w:val="24"/>
        </w:rPr>
        <w:t>The full text of the foregoing statement must be clearly visible on the home page.  On</w:t>
      </w:r>
    </w:p>
    <w:p w14:paraId="3D8F2F01" w14:textId="77777777" w:rsidR="00A850D0" w:rsidRDefault="00A850D0" w:rsidP="00242BA4">
      <w:pPr>
        <w:rPr>
          <w:rFonts w:ascii="Times New Roman" w:hAnsi="Times New Roman"/>
          <w:sz w:val="24"/>
          <w:szCs w:val="24"/>
        </w:rPr>
      </w:pPr>
      <w:r>
        <w:rPr>
          <w:rFonts w:ascii="Times New Roman" w:hAnsi="Times New Roman"/>
          <w:sz w:val="24"/>
          <w:szCs w:val="24"/>
        </w:rPr>
        <w:t xml:space="preserve"> </w:t>
      </w:r>
      <w:r w:rsidR="00242BA4">
        <w:rPr>
          <w:rFonts w:ascii="Times New Roman" w:hAnsi="Times New Roman"/>
          <w:sz w:val="24"/>
          <w:szCs w:val="24"/>
        </w:rPr>
        <w:tab/>
      </w:r>
      <w:r>
        <w:rPr>
          <w:rFonts w:ascii="Times New Roman" w:hAnsi="Times New Roman"/>
          <w:sz w:val="24"/>
          <w:szCs w:val="24"/>
        </w:rPr>
        <w:t xml:space="preserve">other pages, the statement may be included through a link, entitled “Notice of Federal </w:t>
      </w:r>
    </w:p>
    <w:p w14:paraId="390B0438" w14:textId="77777777" w:rsidR="00242BA4" w:rsidRPr="006247C0" w:rsidRDefault="00A850D0" w:rsidP="006247C0">
      <w:pPr>
        <w:ind w:firstLine="720"/>
        <w:rPr>
          <w:rFonts w:ascii="Times New Roman" w:hAnsi="Times New Roman"/>
          <w:sz w:val="24"/>
          <w:szCs w:val="24"/>
        </w:rPr>
      </w:pPr>
      <w:r w:rsidRPr="006247C0">
        <w:rPr>
          <w:rFonts w:ascii="Times New Roman" w:hAnsi="Times New Roman"/>
          <w:sz w:val="24"/>
          <w:szCs w:val="24"/>
        </w:rPr>
        <w:t>funding and Federal disclaimer,” to the full text of the statement.</w:t>
      </w:r>
    </w:p>
    <w:p w14:paraId="76ADB46D" w14:textId="77777777" w:rsidR="00242BA4" w:rsidRDefault="00242BA4" w:rsidP="006247C0">
      <w:pPr>
        <w:pStyle w:val="ListParagraph"/>
        <w:rPr>
          <w:rFonts w:ascii="Times New Roman" w:hAnsi="Times New Roman"/>
          <w:sz w:val="24"/>
          <w:szCs w:val="24"/>
        </w:rPr>
      </w:pPr>
    </w:p>
    <w:p w14:paraId="00EFC2DF" w14:textId="77777777" w:rsidR="003B38A0" w:rsidRPr="00242BA4" w:rsidRDefault="00A850D0" w:rsidP="00242BA4">
      <w:pPr>
        <w:pStyle w:val="ListParagraph"/>
        <w:numPr>
          <w:ilvl w:val="0"/>
          <w:numId w:val="12"/>
        </w:numPr>
        <w:rPr>
          <w:rFonts w:ascii="Times New Roman" w:hAnsi="Times New Roman"/>
          <w:sz w:val="24"/>
          <w:szCs w:val="24"/>
        </w:rPr>
      </w:pPr>
      <w:r w:rsidRPr="00242BA4">
        <w:rPr>
          <w:rFonts w:ascii="Times New Roman" w:hAnsi="Times New Roman"/>
          <w:sz w:val="24"/>
          <w:szCs w:val="24"/>
        </w:rPr>
        <w:t>The recipient acknowledges that the Office of National Drug Control Policy (ONDCP)</w:t>
      </w:r>
      <w:r w:rsidR="003B38A0" w:rsidRPr="00242BA4">
        <w:rPr>
          <w:rFonts w:ascii="Times New Roman" w:hAnsi="Times New Roman"/>
          <w:sz w:val="24"/>
          <w:szCs w:val="24"/>
        </w:rPr>
        <w:t xml:space="preserve"> </w:t>
      </w:r>
    </w:p>
    <w:p w14:paraId="09138F80" w14:textId="77777777" w:rsidR="003B38A0" w:rsidRDefault="00A850D0" w:rsidP="006247C0">
      <w:pPr>
        <w:ind w:firstLine="720"/>
        <w:rPr>
          <w:rFonts w:ascii="Times New Roman" w:hAnsi="Times New Roman"/>
          <w:sz w:val="24"/>
          <w:szCs w:val="24"/>
        </w:rPr>
      </w:pPr>
      <w:r>
        <w:rPr>
          <w:rFonts w:ascii="Times New Roman" w:hAnsi="Times New Roman"/>
          <w:sz w:val="24"/>
          <w:szCs w:val="24"/>
        </w:rPr>
        <w:t>reserves a royalty-free, non-exclusive, and irrevocable license to reproduce, publish or</w:t>
      </w:r>
      <w:r w:rsidR="003B38A0">
        <w:rPr>
          <w:rFonts w:ascii="Times New Roman" w:hAnsi="Times New Roman"/>
          <w:sz w:val="24"/>
          <w:szCs w:val="24"/>
        </w:rPr>
        <w:t xml:space="preserve"> </w:t>
      </w:r>
    </w:p>
    <w:p w14:paraId="4E74D49A" w14:textId="77777777" w:rsidR="003B38A0" w:rsidRDefault="00A850D0" w:rsidP="006247C0">
      <w:pPr>
        <w:ind w:firstLine="720"/>
        <w:rPr>
          <w:rFonts w:ascii="Times New Roman" w:hAnsi="Times New Roman"/>
          <w:sz w:val="24"/>
          <w:szCs w:val="24"/>
        </w:rPr>
      </w:pPr>
      <w:r>
        <w:rPr>
          <w:rFonts w:ascii="Times New Roman" w:hAnsi="Times New Roman"/>
          <w:sz w:val="24"/>
          <w:szCs w:val="24"/>
        </w:rPr>
        <w:t xml:space="preserve">otherwise use, and authorize </w:t>
      </w:r>
      <w:r w:rsidR="00FF7A0C">
        <w:rPr>
          <w:rFonts w:ascii="Times New Roman" w:hAnsi="Times New Roman"/>
          <w:sz w:val="24"/>
          <w:szCs w:val="24"/>
        </w:rPr>
        <w:t>o</w:t>
      </w:r>
      <w:r>
        <w:rPr>
          <w:rFonts w:ascii="Times New Roman" w:hAnsi="Times New Roman"/>
          <w:sz w:val="24"/>
          <w:szCs w:val="24"/>
        </w:rPr>
        <w:t>thers to use (in whole or in part, including in connection</w:t>
      </w:r>
      <w:r w:rsidR="003B38A0">
        <w:rPr>
          <w:rFonts w:ascii="Times New Roman" w:hAnsi="Times New Roman"/>
          <w:sz w:val="24"/>
          <w:szCs w:val="24"/>
        </w:rPr>
        <w:t xml:space="preserve"> </w:t>
      </w:r>
    </w:p>
    <w:p w14:paraId="730CF8A3" w14:textId="77777777" w:rsidR="003B38A0" w:rsidRDefault="00A850D0" w:rsidP="006247C0">
      <w:pPr>
        <w:ind w:firstLine="720"/>
        <w:rPr>
          <w:rFonts w:ascii="Times New Roman" w:hAnsi="Times New Roman"/>
          <w:sz w:val="24"/>
          <w:szCs w:val="24"/>
        </w:rPr>
      </w:pPr>
      <w:r>
        <w:rPr>
          <w:rFonts w:ascii="Times New Roman" w:hAnsi="Times New Roman"/>
          <w:sz w:val="24"/>
          <w:szCs w:val="24"/>
        </w:rPr>
        <w:t>with derivative works), for Federal purposes: (1) any work subject to copyright</w:t>
      </w:r>
      <w:r w:rsidR="003B38A0">
        <w:rPr>
          <w:rFonts w:ascii="Times New Roman" w:hAnsi="Times New Roman"/>
          <w:sz w:val="24"/>
          <w:szCs w:val="24"/>
        </w:rPr>
        <w:t xml:space="preserve"> </w:t>
      </w:r>
    </w:p>
    <w:p w14:paraId="53AB81E5" w14:textId="77777777" w:rsidR="003B38A0" w:rsidRDefault="00A850D0" w:rsidP="006247C0">
      <w:pPr>
        <w:ind w:firstLine="720"/>
        <w:rPr>
          <w:rFonts w:ascii="Times New Roman" w:hAnsi="Times New Roman"/>
          <w:sz w:val="24"/>
          <w:szCs w:val="24"/>
        </w:rPr>
      </w:pPr>
      <w:r>
        <w:rPr>
          <w:rFonts w:ascii="Times New Roman" w:hAnsi="Times New Roman"/>
          <w:sz w:val="24"/>
          <w:szCs w:val="24"/>
        </w:rPr>
        <w:t>developed under an award</w:t>
      </w:r>
      <w:r w:rsidR="00242BA4">
        <w:rPr>
          <w:rFonts w:ascii="Times New Roman" w:hAnsi="Times New Roman"/>
          <w:sz w:val="24"/>
          <w:szCs w:val="24"/>
        </w:rPr>
        <w:t xml:space="preserve"> </w:t>
      </w:r>
      <w:r>
        <w:rPr>
          <w:rFonts w:ascii="Times New Roman" w:hAnsi="Times New Roman"/>
          <w:sz w:val="24"/>
          <w:szCs w:val="24"/>
        </w:rPr>
        <w:t>or subaward; and (2) any rights of copyright to which a</w:t>
      </w:r>
      <w:r w:rsidR="003B38A0">
        <w:rPr>
          <w:rFonts w:ascii="Times New Roman" w:hAnsi="Times New Roman"/>
          <w:sz w:val="24"/>
          <w:szCs w:val="24"/>
        </w:rPr>
        <w:t xml:space="preserve"> </w:t>
      </w:r>
    </w:p>
    <w:p w14:paraId="75A3119E" w14:textId="77777777" w:rsidR="00A850D0" w:rsidRDefault="00A850D0" w:rsidP="006247C0">
      <w:pPr>
        <w:ind w:firstLine="720"/>
        <w:rPr>
          <w:rFonts w:ascii="Times New Roman" w:hAnsi="Times New Roman"/>
          <w:sz w:val="24"/>
          <w:szCs w:val="24"/>
        </w:rPr>
      </w:pPr>
      <w:r>
        <w:rPr>
          <w:rFonts w:ascii="Times New Roman" w:hAnsi="Times New Roman"/>
          <w:sz w:val="24"/>
          <w:szCs w:val="24"/>
        </w:rPr>
        <w:t>recipient or subrecipient purchases ownership with Federal support.</w:t>
      </w:r>
    </w:p>
    <w:p w14:paraId="0BE7DC07" w14:textId="77777777" w:rsidR="00A850D0" w:rsidRDefault="00A850D0" w:rsidP="00242BA4">
      <w:pPr>
        <w:rPr>
          <w:rFonts w:ascii="Times New Roman" w:hAnsi="Times New Roman"/>
          <w:sz w:val="24"/>
          <w:szCs w:val="24"/>
        </w:rPr>
      </w:pPr>
    </w:p>
    <w:p w14:paraId="58F0B54F" w14:textId="77777777" w:rsidR="00E25829" w:rsidRDefault="00A850D0" w:rsidP="006247C0">
      <w:pPr>
        <w:ind w:firstLine="720"/>
        <w:rPr>
          <w:rFonts w:ascii="Times New Roman" w:hAnsi="Times New Roman"/>
          <w:sz w:val="24"/>
          <w:szCs w:val="24"/>
        </w:rPr>
      </w:pPr>
      <w:r>
        <w:rPr>
          <w:rFonts w:ascii="Times New Roman" w:hAnsi="Times New Roman"/>
          <w:sz w:val="24"/>
          <w:szCs w:val="24"/>
        </w:rPr>
        <w:t>The recipient acknowledges that ONDCP has the right to (1) obtain, reproduce, publish,</w:t>
      </w:r>
    </w:p>
    <w:p w14:paraId="25687D74" w14:textId="77777777" w:rsidR="00E25829" w:rsidRDefault="00A850D0" w:rsidP="006247C0">
      <w:pPr>
        <w:ind w:firstLine="720"/>
        <w:rPr>
          <w:rFonts w:ascii="Times New Roman" w:hAnsi="Times New Roman"/>
          <w:sz w:val="24"/>
          <w:szCs w:val="24"/>
        </w:rPr>
      </w:pPr>
      <w:r>
        <w:rPr>
          <w:rFonts w:ascii="Times New Roman" w:hAnsi="Times New Roman"/>
          <w:sz w:val="24"/>
          <w:szCs w:val="24"/>
        </w:rPr>
        <w:t xml:space="preserve">or otherwise use the data first produced under an award or subaward; and (2) authorize </w:t>
      </w:r>
    </w:p>
    <w:p w14:paraId="34A1983E" w14:textId="77777777" w:rsidR="00E25829" w:rsidRDefault="00A850D0" w:rsidP="006247C0">
      <w:pPr>
        <w:ind w:firstLine="720"/>
        <w:rPr>
          <w:rFonts w:ascii="Times New Roman" w:hAnsi="Times New Roman"/>
          <w:sz w:val="24"/>
          <w:szCs w:val="24"/>
        </w:rPr>
      </w:pPr>
      <w:r>
        <w:rPr>
          <w:rFonts w:ascii="Times New Roman" w:hAnsi="Times New Roman"/>
          <w:sz w:val="24"/>
          <w:szCs w:val="24"/>
        </w:rPr>
        <w:t xml:space="preserve">others to receive, reproduce, publish, or otherwise use such data for Federal purposes. </w:t>
      </w:r>
    </w:p>
    <w:p w14:paraId="365A58D7" w14:textId="77777777" w:rsidR="00E25829" w:rsidRDefault="00A850D0" w:rsidP="006247C0">
      <w:pPr>
        <w:ind w:firstLine="720"/>
        <w:rPr>
          <w:rFonts w:ascii="Times New Roman" w:hAnsi="Times New Roman"/>
          <w:sz w:val="24"/>
          <w:szCs w:val="24"/>
        </w:rPr>
      </w:pPr>
      <w:r>
        <w:rPr>
          <w:rFonts w:ascii="Times New Roman" w:hAnsi="Times New Roman"/>
          <w:sz w:val="24"/>
          <w:szCs w:val="24"/>
        </w:rPr>
        <w:t xml:space="preserve">“Data” includes </w:t>
      </w:r>
      <w:r w:rsidR="00E25829">
        <w:rPr>
          <w:rFonts w:ascii="Times New Roman" w:hAnsi="Times New Roman"/>
          <w:sz w:val="24"/>
          <w:szCs w:val="24"/>
        </w:rPr>
        <w:t xml:space="preserve">data as defined in Federal Acquisition Regulation (FAR) provision </w:t>
      </w:r>
    </w:p>
    <w:p w14:paraId="430F1389" w14:textId="77777777" w:rsidR="00A850D0" w:rsidRDefault="00E25829" w:rsidP="006247C0">
      <w:pPr>
        <w:ind w:firstLine="720"/>
        <w:rPr>
          <w:rFonts w:ascii="Times New Roman" w:hAnsi="Times New Roman"/>
          <w:sz w:val="24"/>
          <w:szCs w:val="24"/>
        </w:rPr>
      </w:pPr>
      <w:r>
        <w:rPr>
          <w:rFonts w:ascii="Times New Roman" w:hAnsi="Times New Roman"/>
          <w:sz w:val="24"/>
          <w:szCs w:val="24"/>
        </w:rPr>
        <w:t xml:space="preserve">52.227-14 (Rights in Data – General). </w:t>
      </w:r>
    </w:p>
    <w:p w14:paraId="346D4A09" w14:textId="77777777" w:rsidR="00E25829" w:rsidRDefault="00E25829" w:rsidP="00242BA4">
      <w:pPr>
        <w:rPr>
          <w:rFonts w:ascii="Times New Roman" w:hAnsi="Times New Roman"/>
          <w:sz w:val="24"/>
          <w:szCs w:val="24"/>
        </w:rPr>
      </w:pPr>
    </w:p>
    <w:p w14:paraId="5FBDF7E3" w14:textId="77777777" w:rsidR="00E25829" w:rsidRDefault="00E25829" w:rsidP="006247C0">
      <w:pPr>
        <w:ind w:firstLine="720"/>
        <w:rPr>
          <w:rFonts w:ascii="Times New Roman" w:hAnsi="Times New Roman"/>
          <w:sz w:val="24"/>
          <w:szCs w:val="24"/>
        </w:rPr>
      </w:pPr>
      <w:r>
        <w:rPr>
          <w:rFonts w:ascii="Times New Roman" w:hAnsi="Times New Roman"/>
          <w:sz w:val="24"/>
          <w:szCs w:val="24"/>
        </w:rPr>
        <w:t>It is the responsibility of the recipient (and of each subrecipient, if applicable) to ensure</w:t>
      </w:r>
    </w:p>
    <w:p w14:paraId="15DB9749" w14:textId="77777777" w:rsidR="00E25829" w:rsidRDefault="00E25829" w:rsidP="006247C0">
      <w:pPr>
        <w:ind w:firstLine="720"/>
        <w:rPr>
          <w:rFonts w:ascii="Times New Roman" w:hAnsi="Times New Roman"/>
          <w:sz w:val="24"/>
          <w:szCs w:val="24"/>
        </w:rPr>
      </w:pPr>
      <w:r>
        <w:rPr>
          <w:rFonts w:ascii="Times New Roman" w:hAnsi="Times New Roman"/>
          <w:sz w:val="24"/>
          <w:szCs w:val="24"/>
        </w:rPr>
        <w:t>that this condition is included in any subaward under this award.</w:t>
      </w:r>
    </w:p>
    <w:p w14:paraId="24477A80" w14:textId="77777777" w:rsidR="00E25829" w:rsidRDefault="00E25829" w:rsidP="00242BA4">
      <w:pPr>
        <w:rPr>
          <w:rFonts w:ascii="Times New Roman" w:hAnsi="Times New Roman"/>
          <w:sz w:val="24"/>
          <w:szCs w:val="24"/>
        </w:rPr>
      </w:pPr>
    </w:p>
    <w:p w14:paraId="65335611" w14:textId="77777777" w:rsidR="00E25829" w:rsidRDefault="00E25829" w:rsidP="006247C0">
      <w:pPr>
        <w:ind w:firstLine="720"/>
        <w:rPr>
          <w:rFonts w:ascii="Times New Roman" w:hAnsi="Times New Roman"/>
          <w:sz w:val="24"/>
          <w:szCs w:val="24"/>
        </w:rPr>
      </w:pPr>
      <w:r>
        <w:rPr>
          <w:rFonts w:ascii="Times New Roman" w:hAnsi="Times New Roman"/>
          <w:sz w:val="24"/>
          <w:szCs w:val="24"/>
        </w:rPr>
        <w:t xml:space="preserve">The recipient has the responsibility to obtain from subrecipients, contractors and </w:t>
      </w:r>
    </w:p>
    <w:p w14:paraId="7D79B4A5" w14:textId="77777777" w:rsidR="00E25829" w:rsidRDefault="00E25829" w:rsidP="006247C0">
      <w:pPr>
        <w:ind w:firstLine="720"/>
        <w:rPr>
          <w:rFonts w:ascii="Times New Roman" w:hAnsi="Times New Roman"/>
          <w:sz w:val="24"/>
          <w:szCs w:val="24"/>
        </w:rPr>
      </w:pPr>
      <w:r>
        <w:rPr>
          <w:rFonts w:ascii="Times New Roman" w:hAnsi="Times New Roman"/>
          <w:sz w:val="24"/>
          <w:szCs w:val="24"/>
        </w:rPr>
        <w:t>subcontractors (if any) all rights and data necessary to fulfill the recipient’s obligations</w:t>
      </w:r>
    </w:p>
    <w:p w14:paraId="4114226A" w14:textId="77777777" w:rsidR="00E25829" w:rsidRDefault="00E25829" w:rsidP="006247C0">
      <w:pPr>
        <w:ind w:firstLine="720"/>
        <w:rPr>
          <w:rFonts w:ascii="Times New Roman" w:hAnsi="Times New Roman"/>
          <w:sz w:val="24"/>
          <w:szCs w:val="24"/>
        </w:rPr>
      </w:pPr>
      <w:r>
        <w:rPr>
          <w:rFonts w:ascii="Times New Roman" w:hAnsi="Times New Roman"/>
          <w:sz w:val="24"/>
          <w:szCs w:val="24"/>
        </w:rPr>
        <w:t xml:space="preserve">to the Government under this award.  If a proposed subrecipient, contractor, or </w:t>
      </w:r>
    </w:p>
    <w:p w14:paraId="3C791BBE" w14:textId="77777777" w:rsidR="00E25829" w:rsidRDefault="00E25829" w:rsidP="006247C0">
      <w:pPr>
        <w:ind w:firstLine="720"/>
        <w:rPr>
          <w:rFonts w:ascii="Times New Roman" w:hAnsi="Times New Roman"/>
          <w:sz w:val="24"/>
          <w:szCs w:val="24"/>
        </w:rPr>
      </w:pPr>
      <w:r>
        <w:rPr>
          <w:rFonts w:ascii="Times New Roman" w:hAnsi="Times New Roman"/>
          <w:sz w:val="24"/>
          <w:szCs w:val="24"/>
        </w:rPr>
        <w:t xml:space="preserve">subcontractor refuses to accept terms affording the Government such rights, the </w:t>
      </w:r>
    </w:p>
    <w:p w14:paraId="0D2A1CB2" w14:textId="77777777" w:rsidR="00E25829" w:rsidRDefault="00E25829" w:rsidP="006247C0">
      <w:pPr>
        <w:ind w:firstLine="720"/>
        <w:rPr>
          <w:rFonts w:ascii="Times New Roman" w:hAnsi="Times New Roman"/>
          <w:sz w:val="24"/>
          <w:szCs w:val="24"/>
        </w:rPr>
      </w:pPr>
      <w:r>
        <w:rPr>
          <w:rFonts w:ascii="Times New Roman" w:hAnsi="Times New Roman"/>
          <w:sz w:val="24"/>
          <w:szCs w:val="24"/>
        </w:rPr>
        <w:t xml:space="preserve">recipient shall promptly bring such refusal to the attention of the ONDCP program </w:t>
      </w:r>
    </w:p>
    <w:p w14:paraId="239B95E2" w14:textId="77777777" w:rsidR="00E25829" w:rsidRDefault="00E25829" w:rsidP="006247C0">
      <w:pPr>
        <w:ind w:firstLine="720"/>
        <w:rPr>
          <w:rFonts w:ascii="Times New Roman" w:hAnsi="Times New Roman"/>
          <w:sz w:val="24"/>
          <w:szCs w:val="24"/>
        </w:rPr>
      </w:pPr>
      <w:r>
        <w:rPr>
          <w:rFonts w:ascii="Times New Roman" w:hAnsi="Times New Roman"/>
          <w:sz w:val="24"/>
          <w:szCs w:val="24"/>
        </w:rPr>
        <w:t xml:space="preserve">manager for the award and dot proceed with the agreement in question without </w:t>
      </w:r>
    </w:p>
    <w:p w14:paraId="22D1C1F1" w14:textId="77777777" w:rsidR="00E25829" w:rsidRDefault="00E25829" w:rsidP="006247C0">
      <w:pPr>
        <w:ind w:firstLine="720"/>
        <w:rPr>
          <w:rFonts w:ascii="Times New Roman" w:hAnsi="Times New Roman"/>
          <w:sz w:val="24"/>
          <w:szCs w:val="24"/>
        </w:rPr>
      </w:pPr>
      <w:r>
        <w:rPr>
          <w:rFonts w:ascii="Times New Roman" w:hAnsi="Times New Roman"/>
          <w:sz w:val="24"/>
          <w:szCs w:val="24"/>
        </w:rPr>
        <w:t>further authorization from the ONDCP program office.</w:t>
      </w:r>
    </w:p>
    <w:p w14:paraId="6409EEEC" w14:textId="77777777" w:rsidR="00A850D0" w:rsidRDefault="00A850D0" w:rsidP="00242BA4">
      <w:pPr>
        <w:rPr>
          <w:rFonts w:ascii="Times New Roman" w:hAnsi="Times New Roman"/>
          <w:sz w:val="24"/>
          <w:szCs w:val="24"/>
        </w:rPr>
      </w:pPr>
    </w:p>
    <w:p w14:paraId="6C1FD2A9" w14:textId="77777777" w:rsidR="00E25829" w:rsidRDefault="00437AA1" w:rsidP="00E25829">
      <w:pPr>
        <w:numPr>
          <w:ilvl w:val="0"/>
          <w:numId w:val="12"/>
        </w:numPr>
        <w:tabs>
          <w:tab w:val="left" w:pos="720"/>
        </w:tabs>
        <w:rPr>
          <w:rFonts w:ascii="Times New Roman" w:hAnsi="Times New Roman"/>
          <w:sz w:val="24"/>
          <w:szCs w:val="24"/>
        </w:rPr>
      </w:pPr>
      <w:r w:rsidRPr="00437AA1">
        <w:rPr>
          <w:rFonts w:ascii="Times New Roman" w:hAnsi="Times New Roman"/>
          <w:sz w:val="24"/>
          <w:szCs w:val="24"/>
        </w:rPr>
        <w:t>By law, none of the funds awarded can be used to pay the salary of an individual at a rate in excess of the Executive Level 1.</w:t>
      </w:r>
    </w:p>
    <w:p w14:paraId="1BE1920F" w14:textId="77777777" w:rsidR="003B38A0" w:rsidRDefault="003B38A0" w:rsidP="00242BA4">
      <w:pPr>
        <w:rPr>
          <w:rFonts w:ascii="Times New Roman" w:hAnsi="Times New Roman"/>
          <w:sz w:val="24"/>
          <w:szCs w:val="24"/>
        </w:rPr>
      </w:pPr>
    </w:p>
    <w:p w14:paraId="37AD1C3F" w14:textId="77777777" w:rsidR="00E25829" w:rsidRPr="00E25829" w:rsidRDefault="003B38A0" w:rsidP="00E25829">
      <w:pPr>
        <w:numPr>
          <w:ilvl w:val="0"/>
          <w:numId w:val="12"/>
        </w:numPr>
        <w:tabs>
          <w:tab w:val="left" w:pos="720"/>
        </w:tabs>
        <w:rPr>
          <w:rFonts w:ascii="Times New Roman" w:hAnsi="Times New Roman"/>
          <w:sz w:val="24"/>
          <w:szCs w:val="24"/>
        </w:rPr>
      </w:pPr>
      <w:r>
        <w:rPr>
          <w:rFonts w:ascii="Times New Roman" w:hAnsi="Times New Roman"/>
          <w:sz w:val="24"/>
          <w:szCs w:val="24"/>
        </w:rPr>
        <w:t>Approval of this award does not include approval of any consultant rate in excess of the daily equivalent of the rate of pay payable under level IV of the Executive Schedule under section 5311 of Title 5 of the United States Code.</w:t>
      </w:r>
      <w:r w:rsidR="00E25829">
        <w:rPr>
          <w:rFonts w:ascii="Times New Roman" w:hAnsi="Times New Roman"/>
          <w:sz w:val="24"/>
          <w:szCs w:val="24"/>
        </w:rPr>
        <w:t xml:space="preserve"> </w:t>
      </w:r>
    </w:p>
    <w:p w14:paraId="07216BB7" w14:textId="77777777" w:rsidR="00437AA1" w:rsidRPr="00437AA1" w:rsidRDefault="00437AA1" w:rsidP="00437AA1">
      <w:pPr>
        <w:rPr>
          <w:rFonts w:ascii="Times New Roman" w:hAnsi="Times New Roman"/>
          <w:sz w:val="24"/>
          <w:szCs w:val="24"/>
        </w:rPr>
      </w:pPr>
    </w:p>
    <w:p w14:paraId="282E0241" w14:textId="77777777" w:rsidR="00437AA1" w:rsidRPr="00437AA1" w:rsidRDefault="00437AA1" w:rsidP="00437AA1">
      <w:pPr>
        <w:numPr>
          <w:ilvl w:val="0"/>
          <w:numId w:val="12"/>
        </w:numPr>
        <w:tabs>
          <w:tab w:val="left" w:pos="720"/>
        </w:tabs>
        <w:rPr>
          <w:rFonts w:ascii="Times New Roman" w:hAnsi="Times New Roman"/>
          <w:sz w:val="24"/>
          <w:szCs w:val="24"/>
        </w:rPr>
      </w:pPr>
      <w:r w:rsidRPr="00437AA1">
        <w:rPr>
          <w:rFonts w:ascii="Times New Roman" w:hAnsi="Times New Roman"/>
          <w:sz w:val="24"/>
          <w:szCs w:val="24"/>
        </w:rPr>
        <w:t xml:space="preserve">Accounting Records and Disclosure – Awardees and sub-recipients must maintain records which adequately identify the source and application of funds provided for financially assisted activities.  These records must contain information pertaining to grant or subgrant awards and authorizations, obligations, unobligated balances, assets, liabilities, outlays or expenditures, and income.  </w:t>
      </w:r>
    </w:p>
    <w:p w14:paraId="081948FD" w14:textId="77777777" w:rsidR="00437AA1" w:rsidRPr="00437AA1" w:rsidRDefault="00437AA1" w:rsidP="00437AA1">
      <w:pPr>
        <w:rPr>
          <w:rFonts w:ascii="Times New Roman" w:hAnsi="Times New Roman"/>
          <w:sz w:val="24"/>
          <w:szCs w:val="24"/>
        </w:rPr>
      </w:pPr>
    </w:p>
    <w:p w14:paraId="4D11CF6D" w14:textId="77777777" w:rsidR="00437AA1" w:rsidRDefault="003B38A0" w:rsidP="006247C0">
      <w:pPr>
        <w:ind w:firstLine="360"/>
        <w:rPr>
          <w:rFonts w:ascii="Times New Roman" w:hAnsi="Times New Roman"/>
          <w:sz w:val="24"/>
          <w:szCs w:val="24"/>
        </w:rPr>
      </w:pPr>
      <w:r>
        <w:rPr>
          <w:rFonts w:ascii="Times New Roman" w:hAnsi="Times New Roman"/>
          <w:sz w:val="24"/>
          <w:szCs w:val="24"/>
        </w:rPr>
        <w:t xml:space="preserve">10.  A </w:t>
      </w:r>
      <w:r w:rsidR="00437AA1" w:rsidRPr="00437AA1">
        <w:rPr>
          <w:rFonts w:ascii="Times New Roman" w:hAnsi="Times New Roman"/>
          <w:sz w:val="24"/>
          <w:szCs w:val="24"/>
        </w:rPr>
        <w:t>Programmatic Report is due on a semi-annual basis.</w:t>
      </w:r>
    </w:p>
    <w:p w14:paraId="3F4F674F" w14:textId="77777777" w:rsidR="003B38A0" w:rsidRDefault="003B38A0" w:rsidP="00242BA4">
      <w:pPr>
        <w:rPr>
          <w:rFonts w:ascii="Times New Roman" w:hAnsi="Times New Roman"/>
          <w:sz w:val="24"/>
          <w:szCs w:val="24"/>
        </w:rPr>
      </w:pPr>
    </w:p>
    <w:p w14:paraId="643B0BF4" w14:textId="77777777" w:rsidR="00710A4B" w:rsidRDefault="003B38A0" w:rsidP="006247C0">
      <w:pPr>
        <w:ind w:firstLine="360"/>
        <w:rPr>
          <w:rFonts w:ascii="Times New Roman" w:hAnsi="Times New Roman"/>
          <w:sz w:val="24"/>
          <w:szCs w:val="24"/>
        </w:rPr>
      </w:pPr>
      <w:r>
        <w:rPr>
          <w:rFonts w:ascii="Times New Roman" w:hAnsi="Times New Roman"/>
          <w:sz w:val="24"/>
          <w:szCs w:val="24"/>
        </w:rPr>
        <w:t xml:space="preserve">11. Within 45 days after the end of any conference, meeting, retreat, seminar, </w:t>
      </w:r>
    </w:p>
    <w:p w14:paraId="484669B4" w14:textId="77777777" w:rsidR="00710A4B" w:rsidRDefault="003B38A0" w:rsidP="006247C0">
      <w:pPr>
        <w:ind w:firstLine="720"/>
        <w:rPr>
          <w:rFonts w:ascii="Times New Roman" w:hAnsi="Times New Roman"/>
          <w:sz w:val="24"/>
          <w:szCs w:val="24"/>
        </w:rPr>
      </w:pPr>
      <w:r>
        <w:rPr>
          <w:rFonts w:ascii="Times New Roman" w:hAnsi="Times New Roman"/>
          <w:sz w:val="24"/>
          <w:szCs w:val="24"/>
        </w:rPr>
        <w:lastRenderedPageBreak/>
        <w:t>symposium, training activity, or similar event</w:t>
      </w:r>
      <w:r w:rsidR="00710A4B">
        <w:rPr>
          <w:rFonts w:ascii="Times New Roman" w:hAnsi="Times New Roman"/>
          <w:sz w:val="24"/>
          <w:szCs w:val="24"/>
        </w:rPr>
        <w:t xml:space="preserve"> funded under this award, the total cost of </w:t>
      </w:r>
    </w:p>
    <w:p w14:paraId="505204F7" w14:textId="0BB7C903" w:rsidR="00710A4B" w:rsidRDefault="00710A4B" w:rsidP="006247C0">
      <w:pPr>
        <w:ind w:firstLine="720"/>
        <w:rPr>
          <w:rFonts w:ascii="Times New Roman" w:hAnsi="Times New Roman"/>
          <w:sz w:val="24"/>
          <w:szCs w:val="24"/>
        </w:rPr>
      </w:pPr>
      <w:r>
        <w:rPr>
          <w:rFonts w:ascii="Times New Roman" w:hAnsi="Times New Roman"/>
          <w:sz w:val="24"/>
          <w:szCs w:val="24"/>
        </w:rPr>
        <w:t xml:space="preserve">which exceeds $20,000.00 in award funds, the recipient must provide the </w:t>
      </w:r>
      <w:r w:rsidR="00E738E4">
        <w:rPr>
          <w:rFonts w:ascii="Times New Roman" w:hAnsi="Times New Roman"/>
          <w:sz w:val="24"/>
          <w:szCs w:val="24"/>
        </w:rPr>
        <w:t>grant</w:t>
      </w:r>
      <w:r>
        <w:rPr>
          <w:rFonts w:ascii="Times New Roman" w:hAnsi="Times New Roman"/>
          <w:sz w:val="24"/>
          <w:szCs w:val="24"/>
        </w:rPr>
        <w:t xml:space="preserve"> </w:t>
      </w:r>
    </w:p>
    <w:p w14:paraId="75956B1E" w14:textId="77777777" w:rsidR="003B38A0" w:rsidRDefault="00710A4B" w:rsidP="006247C0">
      <w:pPr>
        <w:ind w:firstLine="720"/>
        <w:rPr>
          <w:rFonts w:ascii="Times New Roman" w:hAnsi="Times New Roman"/>
          <w:sz w:val="24"/>
          <w:szCs w:val="24"/>
        </w:rPr>
      </w:pPr>
      <w:r>
        <w:rPr>
          <w:rFonts w:ascii="Times New Roman" w:hAnsi="Times New Roman"/>
          <w:sz w:val="24"/>
          <w:szCs w:val="24"/>
        </w:rPr>
        <w:t>manager with the following information and itemized costs:</w:t>
      </w:r>
    </w:p>
    <w:p w14:paraId="003B539D" w14:textId="77777777" w:rsidR="00710A4B" w:rsidRDefault="00710A4B" w:rsidP="00242BA4">
      <w:pPr>
        <w:rPr>
          <w:rFonts w:ascii="Times New Roman" w:hAnsi="Times New Roman"/>
          <w:sz w:val="24"/>
          <w:szCs w:val="24"/>
        </w:rPr>
      </w:pPr>
    </w:p>
    <w:p w14:paraId="7F036F4B" w14:textId="77777777" w:rsidR="00710A4B" w:rsidRDefault="00710A4B" w:rsidP="006247C0">
      <w:pPr>
        <w:ind w:firstLine="720"/>
        <w:rPr>
          <w:rFonts w:ascii="Times New Roman" w:hAnsi="Times New Roman"/>
          <w:sz w:val="24"/>
          <w:szCs w:val="24"/>
        </w:rPr>
      </w:pPr>
      <w:r>
        <w:rPr>
          <w:rFonts w:ascii="Times New Roman" w:hAnsi="Times New Roman"/>
          <w:sz w:val="24"/>
          <w:szCs w:val="24"/>
        </w:rPr>
        <w:t>(1)   name of event;</w:t>
      </w:r>
    </w:p>
    <w:p w14:paraId="41D19878" w14:textId="77777777" w:rsidR="00710A4B" w:rsidRDefault="00710A4B" w:rsidP="006247C0">
      <w:pPr>
        <w:ind w:firstLine="720"/>
        <w:rPr>
          <w:rFonts w:ascii="Times New Roman" w:hAnsi="Times New Roman"/>
          <w:sz w:val="24"/>
          <w:szCs w:val="24"/>
        </w:rPr>
      </w:pPr>
      <w:r>
        <w:rPr>
          <w:rFonts w:ascii="Times New Roman" w:hAnsi="Times New Roman"/>
          <w:sz w:val="24"/>
          <w:szCs w:val="24"/>
        </w:rPr>
        <w:t>(2)   event dates;</w:t>
      </w:r>
    </w:p>
    <w:p w14:paraId="20D2FE00" w14:textId="77777777" w:rsidR="00710A4B" w:rsidRDefault="00710A4B" w:rsidP="006247C0">
      <w:pPr>
        <w:ind w:firstLine="720"/>
        <w:rPr>
          <w:rFonts w:ascii="Times New Roman" w:hAnsi="Times New Roman"/>
          <w:sz w:val="24"/>
          <w:szCs w:val="24"/>
        </w:rPr>
      </w:pPr>
      <w:r>
        <w:rPr>
          <w:rFonts w:ascii="Times New Roman" w:hAnsi="Times New Roman"/>
          <w:sz w:val="24"/>
          <w:szCs w:val="24"/>
        </w:rPr>
        <w:t>(3)   location of event;</w:t>
      </w:r>
    </w:p>
    <w:p w14:paraId="596707A3" w14:textId="77777777" w:rsidR="00710A4B" w:rsidRDefault="00710A4B" w:rsidP="006247C0">
      <w:pPr>
        <w:ind w:firstLine="720"/>
        <w:rPr>
          <w:rFonts w:ascii="Times New Roman" w:hAnsi="Times New Roman"/>
          <w:sz w:val="24"/>
          <w:szCs w:val="24"/>
        </w:rPr>
      </w:pPr>
      <w:r>
        <w:rPr>
          <w:rFonts w:ascii="Times New Roman" w:hAnsi="Times New Roman"/>
          <w:sz w:val="24"/>
          <w:szCs w:val="24"/>
        </w:rPr>
        <w:t>(4)   number of Federal attendees;</w:t>
      </w:r>
    </w:p>
    <w:p w14:paraId="609CD68C" w14:textId="77777777" w:rsidR="00710A4B" w:rsidRDefault="00710A4B" w:rsidP="006247C0">
      <w:pPr>
        <w:ind w:firstLine="720"/>
        <w:rPr>
          <w:rFonts w:ascii="Times New Roman" w:hAnsi="Times New Roman"/>
          <w:sz w:val="24"/>
          <w:szCs w:val="24"/>
        </w:rPr>
      </w:pPr>
      <w:r>
        <w:rPr>
          <w:rFonts w:ascii="Times New Roman" w:hAnsi="Times New Roman"/>
          <w:sz w:val="24"/>
          <w:szCs w:val="24"/>
        </w:rPr>
        <w:t>(5)   number of non-Federal attendees;</w:t>
      </w:r>
    </w:p>
    <w:p w14:paraId="7BDFACFF" w14:textId="77777777" w:rsidR="00710A4B" w:rsidRDefault="00710A4B" w:rsidP="006247C0">
      <w:pPr>
        <w:ind w:firstLine="720"/>
        <w:rPr>
          <w:rFonts w:ascii="Times New Roman" w:hAnsi="Times New Roman"/>
          <w:sz w:val="24"/>
          <w:szCs w:val="24"/>
        </w:rPr>
      </w:pPr>
      <w:r>
        <w:rPr>
          <w:rFonts w:ascii="Times New Roman" w:hAnsi="Times New Roman"/>
          <w:sz w:val="24"/>
          <w:szCs w:val="24"/>
        </w:rPr>
        <w:t>(6)   cost of event space, including rooms for break-out sessions;</w:t>
      </w:r>
    </w:p>
    <w:p w14:paraId="4EFCA14E" w14:textId="77777777" w:rsidR="00710A4B" w:rsidRDefault="00710A4B" w:rsidP="006247C0">
      <w:pPr>
        <w:ind w:firstLine="720"/>
        <w:rPr>
          <w:rFonts w:ascii="Times New Roman" w:hAnsi="Times New Roman"/>
          <w:sz w:val="24"/>
          <w:szCs w:val="24"/>
        </w:rPr>
      </w:pPr>
      <w:r>
        <w:rPr>
          <w:rFonts w:ascii="Times New Roman" w:hAnsi="Times New Roman"/>
          <w:sz w:val="24"/>
          <w:szCs w:val="24"/>
        </w:rPr>
        <w:t>(7)   costs of audio visual services;</w:t>
      </w:r>
    </w:p>
    <w:p w14:paraId="4CC5121D" w14:textId="77777777" w:rsidR="00710A4B" w:rsidRDefault="00710A4B" w:rsidP="006247C0">
      <w:pPr>
        <w:ind w:firstLine="720"/>
        <w:rPr>
          <w:rFonts w:ascii="Times New Roman" w:hAnsi="Times New Roman"/>
          <w:sz w:val="24"/>
          <w:szCs w:val="24"/>
        </w:rPr>
      </w:pPr>
      <w:r>
        <w:rPr>
          <w:rFonts w:ascii="Times New Roman" w:hAnsi="Times New Roman"/>
          <w:sz w:val="24"/>
          <w:szCs w:val="24"/>
        </w:rPr>
        <w:t>(8)   other equipment costs (e.g., computer fees, telephone fees);</w:t>
      </w:r>
    </w:p>
    <w:p w14:paraId="3F54C823" w14:textId="77777777" w:rsidR="00710A4B" w:rsidRDefault="00710A4B" w:rsidP="006247C0">
      <w:pPr>
        <w:ind w:firstLine="720"/>
        <w:rPr>
          <w:rFonts w:ascii="Times New Roman" w:hAnsi="Times New Roman"/>
          <w:sz w:val="24"/>
          <w:szCs w:val="24"/>
        </w:rPr>
      </w:pPr>
      <w:r>
        <w:rPr>
          <w:rFonts w:ascii="Times New Roman" w:hAnsi="Times New Roman"/>
          <w:sz w:val="24"/>
          <w:szCs w:val="24"/>
        </w:rPr>
        <w:t>(9)   costs of printing and distribution;</w:t>
      </w:r>
    </w:p>
    <w:p w14:paraId="328ECC3E" w14:textId="77777777" w:rsidR="00710A4B" w:rsidRDefault="00710A4B" w:rsidP="006247C0">
      <w:pPr>
        <w:ind w:firstLine="720"/>
        <w:rPr>
          <w:rFonts w:ascii="Times New Roman" w:hAnsi="Times New Roman"/>
          <w:sz w:val="24"/>
          <w:szCs w:val="24"/>
        </w:rPr>
      </w:pPr>
      <w:r>
        <w:rPr>
          <w:rFonts w:ascii="Times New Roman" w:hAnsi="Times New Roman"/>
          <w:sz w:val="24"/>
          <w:szCs w:val="24"/>
        </w:rPr>
        <w:t>(10) costs of meals provided during the event;</w:t>
      </w:r>
    </w:p>
    <w:p w14:paraId="2B3E4516" w14:textId="77777777" w:rsidR="00710A4B" w:rsidRDefault="00710A4B" w:rsidP="006247C0">
      <w:pPr>
        <w:ind w:firstLine="720"/>
        <w:rPr>
          <w:rFonts w:ascii="Times New Roman" w:hAnsi="Times New Roman"/>
          <w:sz w:val="24"/>
          <w:szCs w:val="24"/>
        </w:rPr>
      </w:pPr>
      <w:r>
        <w:rPr>
          <w:rFonts w:ascii="Times New Roman" w:hAnsi="Times New Roman"/>
          <w:sz w:val="24"/>
          <w:szCs w:val="24"/>
        </w:rPr>
        <w:t>(11) costs of refreshments provided during the event;</w:t>
      </w:r>
    </w:p>
    <w:p w14:paraId="0EED1950" w14:textId="77777777" w:rsidR="00710A4B" w:rsidRDefault="00710A4B" w:rsidP="006247C0">
      <w:pPr>
        <w:ind w:firstLine="720"/>
        <w:rPr>
          <w:rFonts w:ascii="Times New Roman" w:hAnsi="Times New Roman"/>
          <w:sz w:val="24"/>
          <w:szCs w:val="24"/>
        </w:rPr>
      </w:pPr>
      <w:r>
        <w:rPr>
          <w:rFonts w:ascii="Times New Roman" w:hAnsi="Times New Roman"/>
          <w:sz w:val="24"/>
          <w:szCs w:val="24"/>
        </w:rPr>
        <w:t>(12) costs for event planner;</w:t>
      </w:r>
    </w:p>
    <w:p w14:paraId="38F0CE02" w14:textId="77777777" w:rsidR="00710A4B" w:rsidRDefault="00710A4B" w:rsidP="006247C0">
      <w:pPr>
        <w:ind w:firstLine="720"/>
        <w:rPr>
          <w:rFonts w:ascii="Times New Roman" w:hAnsi="Times New Roman"/>
          <w:sz w:val="24"/>
          <w:szCs w:val="24"/>
        </w:rPr>
      </w:pPr>
      <w:r>
        <w:rPr>
          <w:rFonts w:ascii="Times New Roman" w:hAnsi="Times New Roman"/>
          <w:sz w:val="24"/>
          <w:szCs w:val="24"/>
        </w:rPr>
        <w:t>(13) costs for event facilitators; and</w:t>
      </w:r>
    </w:p>
    <w:p w14:paraId="091BE232" w14:textId="77777777" w:rsidR="00710A4B" w:rsidRDefault="00710A4B" w:rsidP="006247C0">
      <w:pPr>
        <w:ind w:firstLine="720"/>
        <w:rPr>
          <w:rFonts w:ascii="Times New Roman" w:hAnsi="Times New Roman"/>
          <w:sz w:val="24"/>
          <w:szCs w:val="24"/>
        </w:rPr>
      </w:pPr>
      <w:r>
        <w:rPr>
          <w:rFonts w:ascii="Times New Roman" w:hAnsi="Times New Roman"/>
          <w:sz w:val="24"/>
          <w:szCs w:val="24"/>
        </w:rPr>
        <w:t>(14) any other costs associated with the event.</w:t>
      </w:r>
    </w:p>
    <w:p w14:paraId="0DC145E0" w14:textId="77777777" w:rsidR="00710A4B" w:rsidRDefault="00710A4B" w:rsidP="00242BA4">
      <w:pPr>
        <w:rPr>
          <w:rFonts w:ascii="Times New Roman" w:hAnsi="Times New Roman"/>
          <w:sz w:val="24"/>
          <w:szCs w:val="24"/>
        </w:rPr>
      </w:pPr>
    </w:p>
    <w:p w14:paraId="4AA24E35" w14:textId="77777777" w:rsidR="00710A4B" w:rsidRDefault="00710A4B" w:rsidP="006247C0">
      <w:pPr>
        <w:ind w:firstLine="720"/>
        <w:rPr>
          <w:rFonts w:ascii="Times New Roman" w:hAnsi="Times New Roman"/>
          <w:sz w:val="24"/>
          <w:szCs w:val="24"/>
        </w:rPr>
      </w:pPr>
      <w:r>
        <w:rPr>
          <w:rFonts w:ascii="Times New Roman" w:hAnsi="Times New Roman"/>
          <w:sz w:val="24"/>
          <w:szCs w:val="24"/>
        </w:rPr>
        <w:t xml:space="preserve">The recipient must also itemize and report any of the following attendee (including </w:t>
      </w:r>
    </w:p>
    <w:p w14:paraId="4F9F2B0F" w14:textId="77777777" w:rsidR="00710A4B" w:rsidRDefault="00710A4B" w:rsidP="006247C0">
      <w:pPr>
        <w:ind w:firstLine="720"/>
        <w:rPr>
          <w:rFonts w:ascii="Times New Roman" w:hAnsi="Times New Roman"/>
          <w:sz w:val="24"/>
          <w:szCs w:val="24"/>
        </w:rPr>
      </w:pPr>
      <w:r>
        <w:rPr>
          <w:rFonts w:ascii="Times New Roman" w:hAnsi="Times New Roman"/>
          <w:sz w:val="24"/>
          <w:szCs w:val="24"/>
        </w:rPr>
        <w:t>participants, presenters, speakers) costs that are paid or reimbursed with cooperative</w:t>
      </w:r>
    </w:p>
    <w:p w14:paraId="2843B631" w14:textId="77777777" w:rsidR="00710A4B" w:rsidRDefault="00710A4B" w:rsidP="006247C0">
      <w:pPr>
        <w:ind w:firstLine="720"/>
        <w:rPr>
          <w:rFonts w:ascii="Times New Roman" w:hAnsi="Times New Roman"/>
          <w:sz w:val="24"/>
          <w:szCs w:val="24"/>
        </w:rPr>
      </w:pPr>
      <w:r>
        <w:rPr>
          <w:rFonts w:ascii="Times New Roman" w:hAnsi="Times New Roman"/>
          <w:sz w:val="24"/>
          <w:szCs w:val="24"/>
        </w:rPr>
        <w:t>agreement funds:</w:t>
      </w:r>
    </w:p>
    <w:p w14:paraId="48B1442D" w14:textId="77777777" w:rsidR="00710A4B" w:rsidRDefault="00710A4B" w:rsidP="00242BA4">
      <w:pPr>
        <w:rPr>
          <w:rFonts w:ascii="Times New Roman" w:hAnsi="Times New Roman"/>
          <w:sz w:val="24"/>
          <w:szCs w:val="24"/>
        </w:rPr>
      </w:pPr>
    </w:p>
    <w:p w14:paraId="53914C09" w14:textId="77777777" w:rsidR="00216042" w:rsidRDefault="00710A4B" w:rsidP="006247C0">
      <w:pPr>
        <w:ind w:firstLine="720"/>
        <w:rPr>
          <w:rFonts w:ascii="Times New Roman" w:hAnsi="Times New Roman"/>
          <w:sz w:val="24"/>
          <w:szCs w:val="24"/>
        </w:rPr>
      </w:pPr>
      <w:r>
        <w:rPr>
          <w:rFonts w:ascii="Times New Roman" w:hAnsi="Times New Roman"/>
          <w:sz w:val="24"/>
          <w:szCs w:val="24"/>
        </w:rPr>
        <w:t xml:space="preserve">(1)   </w:t>
      </w:r>
      <w:r w:rsidR="00216042">
        <w:rPr>
          <w:rFonts w:ascii="Times New Roman" w:hAnsi="Times New Roman"/>
          <w:sz w:val="24"/>
          <w:szCs w:val="24"/>
        </w:rPr>
        <w:t>meals and incidental expenses (M&amp;IE portion of per diem);</w:t>
      </w:r>
    </w:p>
    <w:p w14:paraId="081EDF5F" w14:textId="77777777" w:rsidR="00216042" w:rsidRDefault="00216042" w:rsidP="006247C0">
      <w:pPr>
        <w:ind w:firstLine="720"/>
        <w:rPr>
          <w:rFonts w:ascii="Times New Roman" w:hAnsi="Times New Roman"/>
          <w:sz w:val="24"/>
          <w:szCs w:val="24"/>
        </w:rPr>
      </w:pPr>
      <w:r>
        <w:rPr>
          <w:rFonts w:ascii="Times New Roman" w:hAnsi="Times New Roman"/>
          <w:sz w:val="24"/>
          <w:szCs w:val="24"/>
        </w:rPr>
        <w:t>(2)   lodging;</w:t>
      </w:r>
    </w:p>
    <w:p w14:paraId="236BFAC8" w14:textId="77777777" w:rsidR="00216042" w:rsidRDefault="00216042" w:rsidP="006247C0">
      <w:pPr>
        <w:ind w:firstLine="720"/>
        <w:rPr>
          <w:rFonts w:ascii="Times New Roman" w:hAnsi="Times New Roman"/>
          <w:sz w:val="24"/>
          <w:szCs w:val="24"/>
        </w:rPr>
      </w:pPr>
      <w:r>
        <w:rPr>
          <w:rFonts w:ascii="Times New Roman" w:hAnsi="Times New Roman"/>
          <w:sz w:val="24"/>
          <w:szCs w:val="24"/>
        </w:rPr>
        <w:t>(3)   transportation to/from event location (e.g., common carrier, Privately-Owned</w:t>
      </w:r>
    </w:p>
    <w:p w14:paraId="00809823" w14:textId="77777777" w:rsidR="00216042" w:rsidRDefault="00216042" w:rsidP="006247C0">
      <w:pPr>
        <w:ind w:left="720"/>
        <w:rPr>
          <w:rFonts w:ascii="Times New Roman" w:hAnsi="Times New Roman"/>
          <w:sz w:val="24"/>
          <w:szCs w:val="24"/>
        </w:rPr>
      </w:pPr>
      <w:r>
        <w:rPr>
          <w:rFonts w:ascii="Times New Roman" w:hAnsi="Times New Roman"/>
          <w:sz w:val="24"/>
          <w:szCs w:val="24"/>
        </w:rPr>
        <w:t>Vehicle (POV)); and</w:t>
      </w:r>
    </w:p>
    <w:p w14:paraId="60592325" w14:textId="77777777" w:rsidR="00216042" w:rsidRDefault="00216042" w:rsidP="006247C0">
      <w:pPr>
        <w:ind w:firstLine="720"/>
        <w:rPr>
          <w:rFonts w:ascii="Times New Roman" w:hAnsi="Times New Roman"/>
          <w:sz w:val="24"/>
          <w:szCs w:val="24"/>
        </w:rPr>
      </w:pPr>
      <w:r>
        <w:rPr>
          <w:rFonts w:ascii="Times New Roman" w:hAnsi="Times New Roman"/>
          <w:sz w:val="24"/>
          <w:szCs w:val="24"/>
        </w:rPr>
        <w:t>(4)   local transportation (e.g., rental car, POV) at the event location.</w:t>
      </w:r>
    </w:p>
    <w:p w14:paraId="56A637A1" w14:textId="77777777" w:rsidR="00216042" w:rsidRDefault="00216042" w:rsidP="00242BA4">
      <w:pPr>
        <w:rPr>
          <w:rFonts w:ascii="Times New Roman" w:hAnsi="Times New Roman"/>
          <w:sz w:val="24"/>
          <w:szCs w:val="24"/>
        </w:rPr>
      </w:pPr>
    </w:p>
    <w:p w14:paraId="41B10417" w14:textId="77777777" w:rsidR="00216042" w:rsidRDefault="00216042" w:rsidP="006247C0">
      <w:pPr>
        <w:ind w:firstLine="720"/>
        <w:rPr>
          <w:rFonts w:ascii="Times New Roman" w:hAnsi="Times New Roman"/>
          <w:sz w:val="24"/>
          <w:szCs w:val="24"/>
        </w:rPr>
      </w:pPr>
      <w:r>
        <w:rPr>
          <w:rFonts w:ascii="Times New Roman" w:hAnsi="Times New Roman"/>
          <w:sz w:val="24"/>
          <w:szCs w:val="24"/>
        </w:rPr>
        <w:t>Note that if any item is paid for with registration fees, or any other non-award funding,</w:t>
      </w:r>
    </w:p>
    <w:p w14:paraId="3EF6AFB6" w14:textId="77777777" w:rsidR="00216042" w:rsidRDefault="00216042" w:rsidP="006247C0">
      <w:pPr>
        <w:ind w:firstLine="720"/>
        <w:rPr>
          <w:rFonts w:ascii="Times New Roman" w:hAnsi="Times New Roman"/>
          <w:sz w:val="24"/>
          <w:szCs w:val="24"/>
        </w:rPr>
      </w:pPr>
      <w:r>
        <w:rPr>
          <w:rFonts w:ascii="Times New Roman" w:hAnsi="Times New Roman"/>
          <w:sz w:val="24"/>
          <w:szCs w:val="24"/>
        </w:rPr>
        <w:t>then that portion of the expense does not need to be reported.</w:t>
      </w:r>
    </w:p>
    <w:p w14:paraId="18BFAC4A" w14:textId="77777777" w:rsidR="00216042" w:rsidRDefault="00216042" w:rsidP="00242BA4">
      <w:pPr>
        <w:rPr>
          <w:rFonts w:ascii="Times New Roman" w:hAnsi="Times New Roman"/>
          <w:sz w:val="24"/>
          <w:szCs w:val="24"/>
        </w:rPr>
      </w:pPr>
    </w:p>
    <w:p w14:paraId="0C415E30" w14:textId="77777777" w:rsidR="00432788" w:rsidRDefault="00216042" w:rsidP="00B05E42">
      <w:pPr>
        <w:rPr>
          <w:b/>
          <w:bCs/>
        </w:rPr>
      </w:pPr>
      <w:bookmarkStart w:id="0" w:name="_GoBack"/>
      <w:bookmarkEnd w:id="0"/>
      <w:r>
        <w:t xml:space="preserve"> </w:t>
      </w:r>
    </w:p>
    <w:p w14:paraId="42C71FF8" w14:textId="77777777" w:rsidR="00A04192" w:rsidRPr="00DF56D6" w:rsidRDefault="00A04192" w:rsidP="007D3974">
      <w:pPr>
        <w:pStyle w:val="CM14"/>
        <w:spacing w:after="252"/>
        <w:rPr>
          <w:b/>
          <w:bCs/>
        </w:rPr>
      </w:pPr>
      <w:r w:rsidRPr="00DF56D6">
        <w:rPr>
          <w:b/>
          <w:bCs/>
        </w:rPr>
        <w:t>C.</w:t>
      </w:r>
      <w:r w:rsidR="000A4378">
        <w:rPr>
          <w:b/>
          <w:bCs/>
        </w:rPr>
        <w:t xml:space="preserve"> </w:t>
      </w:r>
      <w:r w:rsidRPr="00DF56D6">
        <w:rPr>
          <w:b/>
          <w:bCs/>
        </w:rPr>
        <w:t xml:space="preserve"> Payment Basis </w:t>
      </w:r>
    </w:p>
    <w:p w14:paraId="6C224056" w14:textId="77777777" w:rsidR="000A2A1E" w:rsidRDefault="00A04192" w:rsidP="007D3974">
      <w:pPr>
        <w:pStyle w:val="CM13"/>
        <w:numPr>
          <w:ilvl w:val="0"/>
          <w:numId w:val="10"/>
        </w:numPr>
        <w:spacing w:after="337"/>
        <w:rPr>
          <w:color w:val="000000"/>
        </w:rPr>
      </w:pPr>
      <w:r w:rsidRPr="000A2A1E">
        <w:rPr>
          <w:color w:val="000000"/>
        </w:rPr>
        <w:t xml:space="preserve">A request for Advance or Reimbursement shall be made using the HHS/DPM system (www.dpm.psc.gov). </w:t>
      </w:r>
    </w:p>
    <w:p w14:paraId="790B1BE0" w14:textId="77777777" w:rsidR="00A04192" w:rsidRPr="000A2A1E" w:rsidRDefault="00A04192" w:rsidP="007D3974">
      <w:pPr>
        <w:pStyle w:val="CM13"/>
        <w:numPr>
          <w:ilvl w:val="0"/>
          <w:numId w:val="10"/>
        </w:numPr>
        <w:spacing w:after="337"/>
        <w:rPr>
          <w:color w:val="000000"/>
        </w:rPr>
      </w:pPr>
      <w:r w:rsidRPr="000A2A1E">
        <w:rPr>
          <w:color w:val="000000"/>
        </w:rPr>
        <w:t xml:space="preserve">The grantee, must utilize the </w:t>
      </w:r>
      <w:r w:rsidR="00650434" w:rsidRPr="000A2A1E">
        <w:rPr>
          <w:color w:val="000000"/>
        </w:rPr>
        <w:t xml:space="preserve">object </w:t>
      </w:r>
      <w:r w:rsidR="00D643A8" w:rsidRPr="000A2A1E">
        <w:rPr>
          <w:color w:val="000000"/>
        </w:rPr>
        <w:t>class</w:t>
      </w:r>
      <w:r w:rsidR="00650434" w:rsidRPr="000A2A1E">
        <w:rPr>
          <w:color w:val="000000"/>
        </w:rPr>
        <w:t xml:space="preserve">es specified within the initial grant </w:t>
      </w:r>
      <w:r w:rsidR="00AE739A" w:rsidRPr="000A2A1E">
        <w:rPr>
          <w:color w:val="000000"/>
        </w:rPr>
        <w:t xml:space="preserve">application </w:t>
      </w:r>
      <w:r w:rsidRPr="000A2A1E">
        <w:rPr>
          <w:color w:val="000000"/>
        </w:rPr>
        <w:t xml:space="preserve">each time they submit a disbursement request to </w:t>
      </w:r>
      <w:r w:rsidR="00AE739A" w:rsidRPr="000A2A1E">
        <w:rPr>
          <w:color w:val="000000"/>
        </w:rPr>
        <w:t>ONDCP</w:t>
      </w:r>
      <w:r w:rsidRPr="000A2A1E">
        <w:rPr>
          <w:color w:val="000000"/>
        </w:rPr>
        <w:t xml:space="preserve">. </w:t>
      </w:r>
      <w:r w:rsidR="00EC241D" w:rsidRPr="000A2A1E">
        <w:rPr>
          <w:color w:val="000000"/>
        </w:rPr>
        <w:t xml:space="preserve"> </w:t>
      </w:r>
      <w:r w:rsidRPr="000A2A1E">
        <w:rPr>
          <w:color w:val="000000"/>
        </w:rPr>
        <w:t xml:space="preserve">Requests for payment in the DPM system will not be approved unless the required disbursements have been entered </w:t>
      </w:r>
      <w:r w:rsidR="00AE739A" w:rsidRPr="000A2A1E">
        <w:rPr>
          <w:color w:val="000000"/>
        </w:rPr>
        <w:t>using the corresponding object class designations</w:t>
      </w:r>
      <w:r w:rsidRPr="000A2A1E">
        <w:rPr>
          <w:color w:val="000000"/>
        </w:rPr>
        <w:t xml:space="preserve">. </w:t>
      </w:r>
      <w:r w:rsidR="00EC241D" w:rsidRPr="000A2A1E">
        <w:rPr>
          <w:color w:val="000000"/>
        </w:rPr>
        <w:t xml:space="preserve"> </w:t>
      </w:r>
      <w:r w:rsidRPr="000A2A1E">
        <w:rPr>
          <w:color w:val="000000"/>
        </w:rPr>
        <w:t xml:space="preserve">Payments will be made via Electronic Fund Transfer to the award recipient’s bank account. </w:t>
      </w:r>
      <w:r w:rsidR="00EC241D" w:rsidRPr="000A2A1E">
        <w:rPr>
          <w:color w:val="000000"/>
        </w:rPr>
        <w:t xml:space="preserve"> </w:t>
      </w:r>
      <w:r w:rsidRPr="000A2A1E">
        <w:rPr>
          <w:color w:val="000000"/>
        </w:rPr>
        <w:t xml:space="preserve">The bank must be FDIC insured. </w:t>
      </w:r>
      <w:r w:rsidR="00EC241D" w:rsidRPr="000A2A1E">
        <w:rPr>
          <w:color w:val="000000"/>
        </w:rPr>
        <w:t xml:space="preserve"> </w:t>
      </w:r>
      <w:r w:rsidRPr="000A2A1E">
        <w:rPr>
          <w:color w:val="000000"/>
        </w:rPr>
        <w:t>The account must be interest bearing.</w:t>
      </w:r>
    </w:p>
    <w:p w14:paraId="3A394B4C" w14:textId="77777777" w:rsidR="00A04192" w:rsidRPr="00DF56D6" w:rsidRDefault="00A04192" w:rsidP="007D3974">
      <w:pPr>
        <w:pStyle w:val="CM13"/>
        <w:numPr>
          <w:ilvl w:val="0"/>
          <w:numId w:val="10"/>
        </w:numPr>
        <w:spacing w:after="337"/>
        <w:rPr>
          <w:color w:val="000000"/>
        </w:rPr>
      </w:pPr>
      <w:r w:rsidRPr="00DF56D6">
        <w:rPr>
          <w:color w:val="000000"/>
        </w:rPr>
        <w:t xml:space="preserve">Except for interest earned on advances of funds exempt under the Intergovernmental Cooperation Act (31 U.S.C. 6501 et seq.) and the Indian Self-Determination Act (23 </w:t>
      </w:r>
      <w:r w:rsidRPr="00DF56D6">
        <w:rPr>
          <w:color w:val="000000"/>
        </w:rPr>
        <w:lastRenderedPageBreak/>
        <w:t xml:space="preserve">U.S.C. 450), grantees and subgrantees shall promptly, but at least quarterly, remit interest earned on advances to HHS/DPM at the address provided below. </w:t>
      </w:r>
      <w:r w:rsidR="00EC241D" w:rsidRPr="00DF56D6">
        <w:rPr>
          <w:color w:val="000000"/>
        </w:rPr>
        <w:t xml:space="preserve"> </w:t>
      </w:r>
      <w:r w:rsidRPr="00DF56D6">
        <w:rPr>
          <w:color w:val="000000"/>
        </w:rPr>
        <w:t xml:space="preserve">When submitting your checks, please provide a detailed explanation which should include: reason for check (remittance of interest earned on </w:t>
      </w:r>
      <w:r w:rsidR="0043578C">
        <w:rPr>
          <w:color w:val="000000"/>
        </w:rPr>
        <w:t>OFDCP</w:t>
      </w:r>
      <w:r w:rsidRPr="00DF56D6">
        <w:rPr>
          <w:color w:val="000000"/>
        </w:rPr>
        <w:t xml:space="preserve"> advance payments), check number, grantee name, grant number, interest period covered, and contact name and number. </w:t>
      </w:r>
    </w:p>
    <w:p w14:paraId="430A843E" w14:textId="77777777" w:rsidR="007D3974" w:rsidRPr="00DF56D6" w:rsidRDefault="007D3974" w:rsidP="007D3974">
      <w:pPr>
        <w:pStyle w:val="CM12"/>
        <w:ind w:left="403" w:firstLine="360"/>
        <w:rPr>
          <w:color w:val="000000"/>
          <w:sz w:val="23"/>
          <w:szCs w:val="23"/>
        </w:rPr>
      </w:pPr>
      <w:r w:rsidRPr="00DF56D6">
        <w:rPr>
          <w:color w:val="000000"/>
          <w:sz w:val="23"/>
          <w:szCs w:val="23"/>
        </w:rPr>
        <w:t>Ms. Janet Fowler</w:t>
      </w:r>
    </w:p>
    <w:p w14:paraId="05800C01" w14:textId="77777777" w:rsidR="007D3974" w:rsidRPr="00DF56D6" w:rsidRDefault="007D3974" w:rsidP="007D3974">
      <w:pPr>
        <w:pStyle w:val="CM12"/>
        <w:ind w:left="403" w:firstLine="360"/>
        <w:rPr>
          <w:color w:val="000000"/>
          <w:sz w:val="23"/>
          <w:szCs w:val="23"/>
        </w:rPr>
      </w:pPr>
      <w:r w:rsidRPr="00DF56D6">
        <w:rPr>
          <w:color w:val="000000"/>
          <w:sz w:val="23"/>
          <w:szCs w:val="23"/>
        </w:rPr>
        <w:t>Division of Payment Management</w:t>
      </w:r>
    </w:p>
    <w:p w14:paraId="1C592ECC" w14:textId="77777777" w:rsidR="007D3974" w:rsidRPr="00DF56D6" w:rsidRDefault="00A04192" w:rsidP="007D3974">
      <w:pPr>
        <w:pStyle w:val="CM12"/>
        <w:spacing w:after="120"/>
        <w:ind w:left="403" w:firstLine="360"/>
        <w:rPr>
          <w:color w:val="000000"/>
          <w:sz w:val="23"/>
          <w:szCs w:val="23"/>
        </w:rPr>
      </w:pPr>
      <w:r w:rsidRPr="00DF56D6">
        <w:rPr>
          <w:color w:val="000000"/>
          <w:sz w:val="23"/>
          <w:szCs w:val="23"/>
        </w:rPr>
        <w:t>Department of Health and Human Services</w:t>
      </w:r>
    </w:p>
    <w:p w14:paraId="246516F0" w14:textId="77777777" w:rsidR="007D3974" w:rsidRPr="00DF56D6" w:rsidRDefault="007D3974" w:rsidP="007D3974">
      <w:pPr>
        <w:pStyle w:val="CM12"/>
        <w:ind w:left="403" w:firstLine="360"/>
        <w:rPr>
          <w:color w:val="000000"/>
          <w:sz w:val="23"/>
          <w:szCs w:val="23"/>
        </w:rPr>
        <w:sectPr w:rsidR="007D3974" w:rsidRPr="00DF56D6" w:rsidSect="007D3974">
          <w:headerReference w:type="default" r:id="rId9"/>
          <w:pgSz w:w="12240" w:h="16340"/>
          <w:pgMar w:top="1440" w:right="1440" w:bottom="1440" w:left="1440" w:header="720" w:footer="720" w:gutter="0"/>
          <w:cols w:space="720"/>
          <w:noEndnote/>
          <w:docGrid w:linePitch="272"/>
        </w:sectPr>
      </w:pPr>
    </w:p>
    <w:p w14:paraId="552DABF6" w14:textId="77777777" w:rsidR="007D3974" w:rsidRPr="00DF56D6" w:rsidRDefault="007D3974" w:rsidP="007D3974">
      <w:pPr>
        <w:pStyle w:val="Default"/>
        <w:spacing w:after="120"/>
        <w:ind w:left="403" w:firstLine="360"/>
        <w:rPr>
          <w:sz w:val="23"/>
          <w:szCs w:val="23"/>
        </w:rPr>
      </w:pPr>
      <w:r w:rsidRPr="00DF56D6">
        <w:rPr>
          <w:sz w:val="23"/>
          <w:szCs w:val="23"/>
          <w:u w:val="single"/>
        </w:rPr>
        <w:lastRenderedPageBreak/>
        <w:t>Via U.S. Postal Mail</w:t>
      </w:r>
      <w:r w:rsidRPr="00DF56D6">
        <w:rPr>
          <w:sz w:val="23"/>
          <w:szCs w:val="23"/>
        </w:rPr>
        <w:t xml:space="preserve">: </w:t>
      </w:r>
    </w:p>
    <w:p w14:paraId="542ACDBD" w14:textId="77777777" w:rsidR="007D3974" w:rsidRPr="00DF56D6" w:rsidRDefault="007D3974" w:rsidP="007D3974">
      <w:pPr>
        <w:pStyle w:val="Default"/>
        <w:ind w:left="403" w:firstLine="360"/>
        <w:rPr>
          <w:sz w:val="23"/>
          <w:szCs w:val="23"/>
        </w:rPr>
      </w:pPr>
      <w:r w:rsidRPr="00DF56D6">
        <w:rPr>
          <w:sz w:val="23"/>
          <w:szCs w:val="23"/>
        </w:rPr>
        <w:t>P.O. Box 6021</w:t>
      </w:r>
    </w:p>
    <w:p w14:paraId="0923AF8B" w14:textId="77777777" w:rsidR="007D3974" w:rsidRPr="00DF56D6" w:rsidRDefault="007D3974" w:rsidP="007D3974">
      <w:pPr>
        <w:pStyle w:val="Default"/>
        <w:ind w:left="403" w:firstLine="360"/>
        <w:rPr>
          <w:sz w:val="23"/>
          <w:szCs w:val="23"/>
        </w:rPr>
      </w:pPr>
      <w:r w:rsidRPr="00DF56D6">
        <w:rPr>
          <w:sz w:val="23"/>
          <w:szCs w:val="23"/>
        </w:rPr>
        <w:t>Rockville, MD 20852</w:t>
      </w:r>
    </w:p>
    <w:p w14:paraId="39121FD8" w14:textId="77777777" w:rsidR="007D3974" w:rsidRPr="00DF56D6" w:rsidRDefault="007D3974" w:rsidP="007D3974">
      <w:pPr>
        <w:pStyle w:val="Default"/>
        <w:rPr>
          <w:sz w:val="23"/>
          <w:szCs w:val="23"/>
        </w:rPr>
      </w:pPr>
    </w:p>
    <w:p w14:paraId="075C6BBA" w14:textId="77777777" w:rsidR="007D3974" w:rsidRPr="00DF56D6" w:rsidRDefault="007D3974" w:rsidP="007D3974">
      <w:pPr>
        <w:pStyle w:val="Default"/>
        <w:rPr>
          <w:sz w:val="23"/>
          <w:szCs w:val="23"/>
        </w:rPr>
      </w:pPr>
      <w:r w:rsidRPr="00DF56D6">
        <w:rPr>
          <w:sz w:val="23"/>
          <w:szCs w:val="23"/>
          <w:u w:val="single"/>
        </w:rPr>
        <w:lastRenderedPageBreak/>
        <w:t>Via FedEx</w:t>
      </w:r>
      <w:r w:rsidRPr="00DF56D6">
        <w:rPr>
          <w:sz w:val="23"/>
          <w:szCs w:val="23"/>
        </w:rPr>
        <w:t>:</w:t>
      </w:r>
    </w:p>
    <w:p w14:paraId="7F9D7244" w14:textId="77777777" w:rsidR="007D3974" w:rsidRPr="00DF56D6" w:rsidRDefault="007D3974" w:rsidP="007D3974">
      <w:pPr>
        <w:pStyle w:val="Default"/>
        <w:spacing w:before="120"/>
        <w:rPr>
          <w:sz w:val="23"/>
          <w:szCs w:val="23"/>
        </w:rPr>
      </w:pPr>
      <w:r w:rsidRPr="00DF56D6">
        <w:rPr>
          <w:sz w:val="23"/>
          <w:szCs w:val="23"/>
        </w:rPr>
        <w:t>7700 Wisconsin Avenue, 10th Floor</w:t>
      </w:r>
    </w:p>
    <w:p w14:paraId="5635A7A4" w14:textId="77777777" w:rsidR="007D3974" w:rsidRPr="00DF56D6" w:rsidRDefault="007D3974" w:rsidP="007D3974">
      <w:pPr>
        <w:pStyle w:val="Default"/>
        <w:rPr>
          <w:sz w:val="23"/>
          <w:szCs w:val="23"/>
        </w:rPr>
      </w:pPr>
      <w:r w:rsidRPr="00DF56D6">
        <w:rPr>
          <w:sz w:val="23"/>
          <w:szCs w:val="23"/>
        </w:rPr>
        <w:t>Bethesda, MD 20814</w:t>
      </w:r>
    </w:p>
    <w:p w14:paraId="636D320A" w14:textId="77777777" w:rsidR="007D3974" w:rsidRPr="00DF56D6" w:rsidRDefault="007D3974" w:rsidP="007D3974">
      <w:pPr>
        <w:pStyle w:val="Default"/>
      </w:pPr>
    </w:p>
    <w:p w14:paraId="6F25A650" w14:textId="77777777" w:rsidR="007D3974" w:rsidRPr="00DF56D6" w:rsidRDefault="007D3974" w:rsidP="007D3974">
      <w:pPr>
        <w:pStyle w:val="Default"/>
        <w:sectPr w:rsidR="007D3974" w:rsidRPr="00DF56D6" w:rsidSect="007D3974">
          <w:type w:val="continuous"/>
          <w:pgSz w:w="12240" w:h="16340"/>
          <w:pgMar w:top="1440" w:right="1440" w:bottom="1440" w:left="1440" w:header="720" w:footer="720" w:gutter="0"/>
          <w:cols w:num="2" w:space="720" w:equalWidth="0">
            <w:col w:w="3600" w:space="720"/>
            <w:col w:w="5040"/>
          </w:cols>
          <w:noEndnote/>
          <w:docGrid w:linePitch="272"/>
        </w:sectPr>
      </w:pPr>
    </w:p>
    <w:p w14:paraId="126A2E7F" w14:textId="77777777" w:rsidR="00A04192" w:rsidRPr="00DF56D6" w:rsidRDefault="00A04192" w:rsidP="007D3974">
      <w:pPr>
        <w:pStyle w:val="CM13"/>
        <w:numPr>
          <w:ilvl w:val="0"/>
          <w:numId w:val="10"/>
        </w:numPr>
        <w:spacing w:after="337"/>
        <w:rPr>
          <w:color w:val="000000"/>
        </w:rPr>
      </w:pPr>
      <w:r w:rsidRPr="00DF56D6">
        <w:rPr>
          <w:color w:val="000000"/>
        </w:rPr>
        <w:lastRenderedPageBreak/>
        <w:t xml:space="preserve">The grantee or subgrantee may keep interest amounts up to $100 per year for administrative purposes. </w:t>
      </w:r>
    </w:p>
    <w:sectPr w:rsidR="00A04192" w:rsidRPr="00DF56D6" w:rsidSect="007D3974">
      <w:type w:val="continuous"/>
      <w:pgSz w:w="12240" w:h="163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6E35" w14:textId="77777777" w:rsidR="00535CEC" w:rsidRDefault="00535CEC" w:rsidP="007D3974">
      <w:r>
        <w:separator/>
      </w:r>
    </w:p>
  </w:endnote>
  <w:endnote w:type="continuationSeparator" w:id="0">
    <w:p w14:paraId="6DD87F1C" w14:textId="77777777" w:rsidR="00535CEC" w:rsidRDefault="00535CEC" w:rsidP="007D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46DE" w14:textId="77777777" w:rsidR="00535CEC" w:rsidRDefault="00535CEC" w:rsidP="007D3974">
      <w:r>
        <w:separator/>
      </w:r>
    </w:p>
  </w:footnote>
  <w:footnote w:type="continuationSeparator" w:id="0">
    <w:p w14:paraId="22D7E153" w14:textId="77777777" w:rsidR="00535CEC" w:rsidRDefault="00535CEC" w:rsidP="007D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8DDC" w14:textId="4857A039" w:rsidR="00437AA1" w:rsidRPr="000A2A1E" w:rsidRDefault="00165608">
    <w:pPr>
      <w:pStyle w:val="Header"/>
      <w:jc w:val="right"/>
      <w:rPr>
        <w:rFonts w:ascii="Times New Roman" w:hAnsi="Times New Roman"/>
        <w:sz w:val="24"/>
        <w:szCs w:val="24"/>
      </w:rPr>
    </w:pPr>
    <w:r>
      <w:rPr>
        <w:rFonts w:ascii="Times New Roman" w:hAnsi="Times New Roman"/>
        <w:sz w:val="24"/>
        <w:szCs w:val="24"/>
      </w:rPr>
      <w:t>Terms and Conditions</w:t>
    </w:r>
  </w:p>
  <w:p w14:paraId="0C1C2690" w14:textId="77777777" w:rsidR="00437AA1" w:rsidRDefault="00437AA1">
    <w:pPr>
      <w:pStyle w:val="Header"/>
      <w:jc w:val="right"/>
      <w:rPr>
        <w:rFonts w:ascii="Times New Roman" w:hAnsi="Times New Roman"/>
        <w:sz w:val="24"/>
        <w:szCs w:val="24"/>
      </w:rPr>
    </w:pPr>
    <w:r>
      <w:rPr>
        <w:rFonts w:ascii="Times New Roman" w:hAnsi="Times New Roman"/>
        <w:sz w:val="24"/>
        <w:szCs w:val="24"/>
      </w:rPr>
      <w:t xml:space="preserve">Page </w:t>
    </w:r>
    <w:r w:rsidRPr="007D3974">
      <w:rPr>
        <w:rFonts w:ascii="Times New Roman" w:hAnsi="Times New Roman"/>
        <w:sz w:val="24"/>
        <w:szCs w:val="24"/>
      </w:rPr>
      <w:fldChar w:fldCharType="begin"/>
    </w:r>
    <w:r w:rsidRPr="007D3974">
      <w:rPr>
        <w:rFonts w:ascii="Times New Roman" w:hAnsi="Times New Roman"/>
        <w:sz w:val="24"/>
        <w:szCs w:val="24"/>
      </w:rPr>
      <w:instrText xml:space="preserve"> PAGE   \* MERGEFORMAT </w:instrText>
    </w:r>
    <w:r w:rsidRPr="007D3974">
      <w:rPr>
        <w:rFonts w:ascii="Times New Roman" w:hAnsi="Times New Roman"/>
        <w:sz w:val="24"/>
        <w:szCs w:val="24"/>
      </w:rPr>
      <w:fldChar w:fldCharType="separate"/>
    </w:r>
    <w:r w:rsidR="00165608">
      <w:rPr>
        <w:rFonts w:ascii="Times New Roman" w:hAnsi="Times New Roman"/>
        <w:noProof/>
        <w:sz w:val="24"/>
        <w:szCs w:val="24"/>
      </w:rPr>
      <w:t>1</w:t>
    </w:r>
    <w:r w:rsidRPr="007D3974">
      <w:rPr>
        <w:rFonts w:ascii="Times New Roman" w:hAnsi="Times New Roman"/>
        <w:sz w:val="24"/>
        <w:szCs w:val="24"/>
      </w:rPr>
      <w:fldChar w:fldCharType="end"/>
    </w:r>
    <w:r>
      <w:rPr>
        <w:rFonts w:ascii="Times New Roman" w:hAnsi="Times New Roman"/>
        <w:sz w:val="24"/>
        <w:szCs w:val="24"/>
      </w:rPr>
      <w:t xml:space="preserve"> of </w:t>
    </w:r>
    <w:r w:rsidR="00944714">
      <w:rPr>
        <w:rFonts w:ascii="Times New Roman" w:hAnsi="Times New Roman"/>
        <w:sz w:val="24"/>
        <w:szCs w:val="24"/>
      </w:rPr>
      <w:t>7</w:t>
    </w:r>
  </w:p>
  <w:p w14:paraId="2F001C88" w14:textId="77777777" w:rsidR="00437AA1" w:rsidRPr="007D3974" w:rsidRDefault="00437AA1">
    <w:pPr>
      <w:pStyle w:val="Header"/>
      <w:jc w:val="right"/>
      <w:rPr>
        <w:rFonts w:ascii="Times New Roman" w:hAnsi="Times New Roman"/>
        <w:sz w:val="24"/>
        <w:szCs w:val="24"/>
      </w:rPr>
    </w:pPr>
  </w:p>
  <w:p w14:paraId="32536C6B" w14:textId="77777777" w:rsidR="00437AA1" w:rsidRDefault="0043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3BFFEB"/>
    <w:multiLevelType w:val="hybridMultilevel"/>
    <w:tmpl w:val="4F75F2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EEB9E6"/>
    <w:multiLevelType w:val="hybridMultilevel"/>
    <w:tmpl w:val="7EBB6C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EC730C"/>
    <w:multiLevelType w:val="hybridMultilevel"/>
    <w:tmpl w:val="83C21A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98233BA"/>
    <w:multiLevelType w:val="hybridMultilevel"/>
    <w:tmpl w:val="32C8860E"/>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nsid w:val="329AF809"/>
    <w:multiLevelType w:val="hybridMultilevel"/>
    <w:tmpl w:val="473096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4C403D6"/>
    <w:multiLevelType w:val="hybridMultilevel"/>
    <w:tmpl w:val="698C941A"/>
    <w:lvl w:ilvl="0" w:tplc="3FBA4F7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36CC7761"/>
    <w:multiLevelType w:val="hybridMultilevel"/>
    <w:tmpl w:val="8B663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714A6"/>
    <w:multiLevelType w:val="hybridMultilevel"/>
    <w:tmpl w:val="698C941A"/>
    <w:lvl w:ilvl="0" w:tplc="3FBA4F7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3DE708B7"/>
    <w:multiLevelType w:val="hybridMultilevel"/>
    <w:tmpl w:val="60D3A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0FD6BEE"/>
    <w:multiLevelType w:val="hybridMultilevel"/>
    <w:tmpl w:val="698C941A"/>
    <w:lvl w:ilvl="0" w:tplc="3FBA4F7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49DE1871"/>
    <w:multiLevelType w:val="hybridMultilevel"/>
    <w:tmpl w:val="B5A04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AF1392"/>
    <w:multiLevelType w:val="hybridMultilevel"/>
    <w:tmpl w:val="0DD4E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8709B0"/>
    <w:multiLevelType w:val="hybridMultilevel"/>
    <w:tmpl w:val="E10AB8C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0"/>
  </w:num>
  <w:num w:numId="3">
    <w:abstractNumId w:val="1"/>
  </w:num>
  <w:num w:numId="4">
    <w:abstractNumId w:val="4"/>
  </w:num>
  <w:num w:numId="5">
    <w:abstractNumId w:val="2"/>
  </w:num>
  <w:num w:numId="6">
    <w:abstractNumId w:val="11"/>
  </w:num>
  <w:num w:numId="7">
    <w:abstractNumId w:val="3"/>
  </w:num>
  <w:num w:numId="8">
    <w:abstractNumId w:val="5"/>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4"/>
    <w:rsid w:val="00044DAD"/>
    <w:rsid w:val="00094C22"/>
    <w:rsid w:val="000A2A1E"/>
    <w:rsid w:val="000A4378"/>
    <w:rsid w:val="000A6954"/>
    <w:rsid w:val="000E0302"/>
    <w:rsid w:val="000E1FC9"/>
    <w:rsid w:val="001556C8"/>
    <w:rsid w:val="00165608"/>
    <w:rsid w:val="001A2B78"/>
    <w:rsid w:val="00216042"/>
    <w:rsid w:val="00224E33"/>
    <w:rsid w:val="002252C3"/>
    <w:rsid w:val="00242BA4"/>
    <w:rsid w:val="00247052"/>
    <w:rsid w:val="002572F0"/>
    <w:rsid w:val="002821F7"/>
    <w:rsid w:val="00297631"/>
    <w:rsid w:val="002A27BF"/>
    <w:rsid w:val="002E767A"/>
    <w:rsid w:val="003003C3"/>
    <w:rsid w:val="003513AE"/>
    <w:rsid w:val="00377CA4"/>
    <w:rsid w:val="003B38A0"/>
    <w:rsid w:val="003E6DB5"/>
    <w:rsid w:val="003F7FB6"/>
    <w:rsid w:val="00432788"/>
    <w:rsid w:val="0043578C"/>
    <w:rsid w:val="00437AA1"/>
    <w:rsid w:val="004651E0"/>
    <w:rsid w:val="00492BFC"/>
    <w:rsid w:val="004E1C47"/>
    <w:rsid w:val="00506234"/>
    <w:rsid w:val="0053165D"/>
    <w:rsid w:val="00535CEC"/>
    <w:rsid w:val="0055230F"/>
    <w:rsid w:val="005F0FB2"/>
    <w:rsid w:val="005F65BE"/>
    <w:rsid w:val="0060210E"/>
    <w:rsid w:val="006063BB"/>
    <w:rsid w:val="006247C0"/>
    <w:rsid w:val="0062794E"/>
    <w:rsid w:val="00627C67"/>
    <w:rsid w:val="00650434"/>
    <w:rsid w:val="006533D0"/>
    <w:rsid w:val="006564B1"/>
    <w:rsid w:val="00674B19"/>
    <w:rsid w:val="007022B0"/>
    <w:rsid w:val="00710A4B"/>
    <w:rsid w:val="00795771"/>
    <w:rsid w:val="007B3E77"/>
    <w:rsid w:val="007D3974"/>
    <w:rsid w:val="007E66A4"/>
    <w:rsid w:val="007E7399"/>
    <w:rsid w:val="008115D7"/>
    <w:rsid w:val="008F3DEF"/>
    <w:rsid w:val="00944714"/>
    <w:rsid w:val="00960B2E"/>
    <w:rsid w:val="00996EAC"/>
    <w:rsid w:val="00A04192"/>
    <w:rsid w:val="00A54461"/>
    <w:rsid w:val="00A850D0"/>
    <w:rsid w:val="00AC2C82"/>
    <w:rsid w:val="00AE099A"/>
    <w:rsid w:val="00AE739A"/>
    <w:rsid w:val="00AF74AF"/>
    <w:rsid w:val="00B05E42"/>
    <w:rsid w:val="00B161D1"/>
    <w:rsid w:val="00B3165B"/>
    <w:rsid w:val="00B44485"/>
    <w:rsid w:val="00B97AE4"/>
    <w:rsid w:val="00BB47D6"/>
    <w:rsid w:val="00BC0A94"/>
    <w:rsid w:val="00C30810"/>
    <w:rsid w:val="00C67DFB"/>
    <w:rsid w:val="00C704E4"/>
    <w:rsid w:val="00C73F66"/>
    <w:rsid w:val="00C8608C"/>
    <w:rsid w:val="00C92E46"/>
    <w:rsid w:val="00CD7A6C"/>
    <w:rsid w:val="00CD7DFC"/>
    <w:rsid w:val="00CF17D8"/>
    <w:rsid w:val="00D04B13"/>
    <w:rsid w:val="00D136A3"/>
    <w:rsid w:val="00D20468"/>
    <w:rsid w:val="00D643A8"/>
    <w:rsid w:val="00D66A07"/>
    <w:rsid w:val="00DB10AC"/>
    <w:rsid w:val="00DF56D6"/>
    <w:rsid w:val="00E25829"/>
    <w:rsid w:val="00E738E4"/>
    <w:rsid w:val="00EA12D5"/>
    <w:rsid w:val="00EC241D"/>
    <w:rsid w:val="00ED2868"/>
    <w:rsid w:val="00F40892"/>
    <w:rsid w:val="00F60D22"/>
    <w:rsid w:val="00F80848"/>
    <w:rsid w:val="00F8456D"/>
    <w:rsid w:val="00FC27FB"/>
    <w:rsid w:val="00FF7A0C"/>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4B96E"/>
  <w15:docId w15:val="{D7D8B1F5-F961-4020-B934-B9484B06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4E4"/>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C704E4"/>
    <w:rPr>
      <w:color w:val="auto"/>
    </w:rPr>
  </w:style>
  <w:style w:type="paragraph" w:customStyle="1" w:styleId="CM12">
    <w:name w:val="CM12"/>
    <w:basedOn w:val="Default"/>
    <w:next w:val="Default"/>
    <w:uiPriority w:val="99"/>
    <w:rsid w:val="00C704E4"/>
    <w:rPr>
      <w:color w:val="auto"/>
    </w:rPr>
  </w:style>
  <w:style w:type="paragraph" w:customStyle="1" w:styleId="CM13">
    <w:name w:val="CM13"/>
    <w:basedOn w:val="Default"/>
    <w:next w:val="Default"/>
    <w:uiPriority w:val="99"/>
    <w:rsid w:val="00C704E4"/>
    <w:rPr>
      <w:color w:val="auto"/>
    </w:rPr>
  </w:style>
  <w:style w:type="paragraph" w:customStyle="1" w:styleId="CM14">
    <w:name w:val="CM14"/>
    <w:basedOn w:val="Default"/>
    <w:next w:val="Default"/>
    <w:uiPriority w:val="99"/>
    <w:rsid w:val="00C704E4"/>
    <w:rPr>
      <w:color w:val="auto"/>
    </w:rPr>
  </w:style>
  <w:style w:type="paragraph" w:customStyle="1" w:styleId="CM2">
    <w:name w:val="CM2"/>
    <w:basedOn w:val="Default"/>
    <w:next w:val="Default"/>
    <w:uiPriority w:val="99"/>
    <w:rsid w:val="00C704E4"/>
    <w:pPr>
      <w:spacing w:line="306" w:lineRule="atLeast"/>
    </w:pPr>
    <w:rPr>
      <w:color w:val="auto"/>
    </w:rPr>
  </w:style>
  <w:style w:type="paragraph" w:customStyle="1" w:styleId="CM15">
    <w:name w:val="CM15"/>
    <w:basedOn w:val="Default"/>
    <w:next w:val="Default"/>
    <w:uiPriority w:val="99"/>
    <w:rsid w:val="00C704E4"/>
    <w:rPr>
      <w:color w:val="auto"/>
    </w:rPr>
  </w:style>
  <w:style w:type="paragraph" w:customStyle="1" w:styleId="CM16">
    <w:name w:val="CM16"/>
    <w:basedOn w:val="Default"/>
    <w:next w:val="Default"/>
    <w:uiPriority w:val="99"/>
    <w:rsid w:val="00C704E4"/>
    <w:rPr>
      <w:color w:val="auto"/>
    </w:rPr>
  </w:style>
  <w:style w:type="paragraph" w:customStyle="1" w:styleId="CM17">
    <w:name w:val="CM17"/>
    <w:basedOn w:val="Default"/>
    <w:next w:val="Default"/>
    <w:uiPriority w:val="99"/>
    <w:rsid w:val="00C704E4"/>
    <w:rPr>
      <w:color w:val="auto"/>
    </w:rPr>
  </w:style>
  <w:style w:type="paragraph" w:customStyle="1" w:styleId="CM3">
    <w:name w:val="CM3"/>
    <w:basedOn w:val="Default"/>
    <w:next w:val="Default"/>
    <w:uiPriority w:val="99"/>
    <w:rsid w:val="00C704E4"/>
    <w:pPr>
      <w:spacing w:line="316" w:lineRule="atLeast"/>
    </w:pPr>
    <w:rPr>
      <w:color w:val="auto"/>
    </w:rPr>
  </w:style>
  <w:style w:type="paragraph" w:customStyle="1" w:styleId="CM4">
    <w:name w:val="CM4"/>
    <w:basedOn w:val="Default"/>
    <w:next w:val="Default"/>
    <w:uiPriority w:val="99"/>
    <w:rsid w:val="00C704E4"/>
    <w:pPr>
      <w:spacing w:line="306" w:lineRule="atLeast"/>
    </w:pPr>
    <w:rPr>
      <w:color w:val="auto"/>
    </w:rPr>
  </w:style>
  <w:style w:type="paragraph" w:customStyle="1" w:styleId="CM18">
    <w:name w:val="CM18"/>
    <w:basedOn w:val="Default"/>
    <w:next w:val="Default"/>
    <w:uiPriority w:val="99"/>
    <w:rsid w:val="00C704E4"/>
    <w:rPr>
      <w:color w:val="auto"/>
    </w:rPr>
  </w:style>
  <w:style w:type="paragraph" w:customStyle="1" w:styleId="CM9">
    <w:name w:val="CM9"/>
    <w:basedOn w:val="Default"/>
    <w:next w:val="Default"/>
    <w:uiPriority w:val="99"/>
    <w:rsid w:val="00C704E4"/>
    <w:pPr>
      <w:spacing w:line="268" w:lineRule="atLeast"/>
    </w:pPr>
    <w:rPr>
      <w:color w:val="auto"/>
    </w:rPr>
  </w:style>
  <w:style w:type="paragraph" w:customStyle="1" w:styleId="CM10">
    <w:name w:val="CM10"/>
    <w:basedOn w:val="Default"/>
    <w:next w:val="Default"/>
    <w:uiPriority w:val="99"/>
    <w:rsid w:val="00C704E4"/>
    <w:pPr>
      <w:spacing w:line="313" w:lineRule="atLeast"/>
    </w:pPr>
    <w:rPr>
      <w:color w:val="auto"/>
    </w:rPr>
  </w:style>
  <w:style w:type="paragraph" w:customStyle="1" w:styleId="CM11">
    <w:name w:val="CM11"/>
    <w:basedOn w:val="Default"/>
    <w:next w:val="Default"/>
    <w:uiPriority w:val="99"/>
    <w:rsid w:val="00C704E4"/>
    <w:pPr>
      <w:spacing w:line="368" w:lineRule="atLeast"/>
    </w:pPr>
    <w:rPr>
      <w:color w:val="auto"/>
    </w:rPr>
  </w:style>
  <w:style w:type="paragraph" w:styleId="BalloonText">
    <w:name w:val="Balloon Text"/>
    <w:basedOn w:val="Normal"/>
    <w:link w:val="BalloonTextChar"/>
    <w:uiPriority w:val="99"/>
    <w:semiHidden/>
    <w:unhideWhenUsed/>
    <w:rsid w:val="00811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5D7"/>
    <w:rPr>
      <w:rFonts w:ascii="Tahoma" w:hAnsi="Tahoma" w:cs="Tahoma"/>
      <w:sz w:val="16"/>
      <w:szCs w:val="16"/>
    </w:rPr>
  </w:style>
  <w:style w:type="character" w:styleId="CommentReference">
    <w:name w:val="annotation reference"/>
    <w:basedOn w:val="DefaultParagraphFont"/>
    <w:uiPriority w:val="99"/>
    <w:semiHidden/>
    <w:unhideWhenUsed/>
    <w:rsid w:val="00D20468"/>
    <w:rPr>
      <w:rFonts w:cs="Times New Roman"/>
      <w:sz w:val="16"/>
      <w:szCs w:val="16"/>
    </w:rPr>
  </w:style>
  <w:style w:type="paragraph" w:styleId="CommentText">
    <w:name w:val="annotation text"/>
    <w:basedOn w:val="Normal"/>
    <w:link w:val="CommentTextChar"/>
    <w:uiPriority w:val="99"/>
    <w:semiHidden/>
    <w:unhideWhenUsed/>
    <w:rsid w:val="00D20468"/>
  </w:style>
  <w:style w:type="character" w:customStyle="1" w:styleId="CommentTextChar">
    <w:name w:val="Comment Text Char"/>
    <w:basedOn w:val="DefaultParagraphFont"/>
    <w:link w:val="CommentText"/>
    <w:uiPriority w:val="99"/>
    <w:semiHidden/>
    <w:locked/>
    <w:rsid w:val="00D204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20468"/>
    <w:rPr>
      <w:b/>
      <w:bCs/>
    </w:rPr>
  </w:style>
  <w:style w:type="character" w:customStyle="1" w:styleId="CommentSubjectChar">
    <w:name w:val="Comment Subject Char"/>
    <w:basedOn w:val="CommentTextChar"/>
    <w:link w:val="CommentSubject"/>
    <w:uiPriority w:val="99"/>
    <w:semiHidden/>
    <w:locked/>
    <w:rsid w:val="00D20468"/>
    <w:rPr>
      <w:rFonts w:cs="Times New Roman"/>
      <w:b/>
      <w:bCs/>
      <w:sz w:val="20"/>
      <w:szCs w:val="20"/>
    </w:rPr>
  </w:style>
  <w:style w:type="table" w:styleId="TableGrid">
    <w:name w:val="Table Grid"/>
    <w:basedOn w:val="TableNormal"/>
    <w:uiPriority w:val="59"/>
    <w:rsid w:val="00D2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974"/>
    <w:pPr>
      <w:tabs>
        <w:tab w:val="center" w:pos="4680"/>
        <w:tab w:val="right" w:pos="9360"/>
      </w:tabs>
    </w:pPr>
  </w:style>
  <w:style w:type="character" w:customStyle="1" w:styleId="HeaderChar">
    <w:name w:val="Header Char"/>
    <w:basedOn w:val="DefaultParagraphFont"/>
    <w:link w:val="Header"/>
    <w:uiPriority w:val="99"/>
    <w:rsid w:val="007D3974"/>
  </w:style>
  <w:style w:type="paragraph" w:styleId="Footer">
    <w:name w:val="footer"/>
    <w:basedOn w:val="Normal"/>
    <w:link w:val="FooterChar"/>
    <w:uiPriority w:val="99"/>
    <w:unhideWhenUsed/>
    <w:rsid w:val="007D3974"/>
    <w:pPr>
      <w:tabs>
        <w:tab w:val="center" w:pos="4680"/>
        <w:tab w:val="right" w:pos="9360"/>
      </w:tabs>
    </w:pPr>
  </w:style>
  <w:style w:type="character" w:customStyle="1" w:styleId="FooterChar">
    <w:name w:val="Footer Char"/>
    <w:basedOn w:val="DefaultParagraphFont"/>
    <w:link w:val="Footer"/>
    <w:uiPriority w:val="99"/>
    <w:rsid w:val="007D3974"/>
  </w:style>
  <w:style w:type="paragraph" w:styleId="ListParagraph">
    <w:name w:val="List Paragraph"/>
    <w:basedOn w:val="Normal"/>
    <w:uiPriority w:val="34"/>
    <w:qFormat/>
    <w:rsid w:val="00437AA1"/>
    <w:pPr>
      <w:ind w:left="720"/>
      <w:contextualSpacing/>
    </w:pPr>
  </w:style>
  <w:style w:type="character" w:styleId="Hyperlink">
    <w:name w:val="Hyperlink"/>
    <w:basedOn w:val="DefaultParagraphFont"/>
    <w:uiPriority w:val="99"/>
    <w:semiHidden/>
    <w:unhideWhenUsed/>
    <w:rsid w:val="00EA12D5"/>
    <w:rPr>
      <w:color w:val="0000FF"/>
      <w:u w:val="single"/>
    </w:rPr>
  </w:style>
  <w:style w:type="paragraph" w:styleId="PlainText">
    <w:name w:val="Plain Text"/>
    <w:basedOn w:val="Normal"/>
    <w:link w:val="PlainTextChar"/>
    <w:uiPriority w:val="99"/>
    <w:unhideWhenUsed/>
    <w:rsid w:val="00EA12D5"/>
    <w:rPr>
      <w:rFonts w:eastAsiaTheme="minorHAnsi"/>
      <w:sz w:val="22"/>
      <w:szCs w:val="22"/>
    </w:rPr>
  </w:style>
  <w:style w:type="character" w:customStyle="1" w:styleId="PlainTextChar">
    <w:name w:val="Plain Text Char"/>
    <w:basedOn w:val="DefaultParagraphFont"/>
    <w:link w:val="PlainText"/>
    <w:uiPriority w:val="99"/>
    <w:rsid w:val="00EA12D5"/>
    <w:rPr>
      <w:rFonts w:eastAsiaTheme="minorHAnsi"/>
      <w:sz w:val="22"/>
      <w:szCs w:val="22"/>
    </w:rPr>
  </w:style>
  <w:style w:type="character" w:styleId="Strong">
    <w:name w:val="Strong"/>
    <w:basedOn w:val="DefaultParagraphFont"/>
    <w:uiPriority w:val="22"/>
    <w:qFormat/>
    <w:rsid w:val="00EA1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464">
      <w:bodyDiv w:val="1"/>
      <w:marLeft w:val="0"/>
      <w:marRight w:val="0"/>
      <w:marTop w:val="0"/>
      <w:marBottom w:val="0"/>
      <w:divBdr>
        <w:top w:val="none" w:sz="0" w:space="0" w:color="auto"/>
        <w:left w:val="none" w:sz="0" w:space="0" w:color="auto"/>
        <w:bottom w:val="none" w:sz="0" w:space="0" w:color="auto"/>
        <w:right w:val="none" w:sz="0" w:space="0" w:color="auto"/>
      </w:divBdr>
    </w:div>
    <w:div w:id="11035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o.gov/COF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3516-1725-4390-B519-B029CBDF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Winnovative PDF Merge for .NET</dc:creator>
  <cp:lastModifiedBy>Newton, Lisa</cp:lastModifiedBy>
  <cp:revision>3</cp:revision>
  <cp:lastPrinted>2013-04-18T18:30:00Z</cp:lastPrinted>
  <dcterms:created xsi:type="dcterms:W3CDTF">2015-06-23T12:28:00Z</dcterms:created>
  <dcterms:modified xsi:type="dcterms:W3CDTF">2015-06-23T12:29:00Z</dcterms:modified>
</cp:coreProperties>
</file>