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3CC1E" w14:textId="77777777" w:rsidR="00A04192" w:rsidRPr="006247C0" w:rsidRDefault="00960785" w:rsidP="006247C0">
      <w:pPr>
        <w:pStyle w:val="CM14"/>
        <w:numPr>
          <w:ilvl w:val="0"/>
          <w:numId w:val="11"/>
        </w:numPr>
        <w:spacing w:after="252"/>
        <w:rPr>
          <w:b/>
          <w:bCs/>
        </w:rPr>
      </w:pPr>
      <w:r>
        <w:rPr>
          <w:b/>
          <w:bCs/>
        </w:rPr>
        <w:t>General Terms and Conditions</w:t>
      </w:r>
    </w:p>
    <w:p w14:paraId="7B1A83DF" w14:textId="77777777" w:rsidR="00437AA1" w:rsidRDefault="00437AA1" w:rsidP="00437AA1">
      <w:pPr>
        <w:pStyle w:val="Default"/>
      </w:pPr>
    </w:p>
    <w:p w14:paraId="29FC5E25" w14:textId="449E1A44" w:rsidR="00A04192" w:rsidRPr="0086690C" w:rsidRDefault="00CC1EAF" w:rsidP="006247C0">
      <w:pPr>
        <w:pStyle w:val="CM13"/>
        <w:numPr>
          <w:ilvl w:val="0"/>
          <w:numId w:val="8"/>
        </w:numPr>
        <w:spacing w:after="337"/>
      </w:pPr>
      <w:r w:rsidRPr="0086690C">
        <w:rPr>
          <w:position w:val="2"/>
        </w:rPr>
        <w:t xml:space="preserve">This grant is subject to </w:t>
      </w:r>
      <w:r w:rsidR="00D55E95" w:rsidRPr="0086690C">
        <w:rPr>
          <w:position w:val="2"/>
        </w:rPr>
        <w:t xml:space="preserve">applicable Federal law, including but not limited to </w:t>
      </w:r>
      <w:r w:rsidRPr="0086690C">
        <w:rPr>
          <w:position w:val="2"/>
        </w:rPr>
        <w:t xml:space="preserve">Title 2 of </w:t>
      </w:r>
      <w:r w:rsidR="00D55E95" w:rsidRPr="0086690C">
        <w:rPr>
          <w:position w:val="2"/>
        </w:rPr>
        <w:t>the Code of Federal Regulations</w:t>
      </w:r>
      <w:r w:rsidRPr="0086690C">
        <w:rPr>
          <w:position w:val="2"/>
        </w:rPr>
        <w:t xml:space="preserve"> </w:t>
      </w:r>
      <w:r w:rsidR="00D55E95" w:rsidRPr="0086690C">
        <w:rPr>
          <w:position w:val="2"/>
        </w:rPr>
        <w:t xml:space="preserve">and the </w:t>
      </w:r>
      <w:r w:rsidRPr="0086690C">
        <w:rPr>
          <w:position w:val="2"/>
        </w:rPr>
        <w:t>following</w:t>
      </w:r>
      <w:r w:rsidR="006247C0" w:rsidRPr="0086690C">
        <w:rPr>
          <w:color w:val="000000"/>
        </w:rPr>
        <w:t>:</w:t>
      </w:r>
    </w:p>
    <w:p w14:paraId="51B48775" w14:textId="12D5260B" w:rsidR="00CC1EAF" w:rsidRPr="00B70C46" w:rsidRDefault="00E251A6" w:rsidP="0086690C">
      <w:pPr>
        <w:pStyle w:val="Default"/>
        <w:numPr>
          <w:ilvl w:val="0"/>
          <w:numId w:val="6"/>
        </w:numPr>
        <w:spacing w:after="49"/>
        <w:rPr>
          <w:color w:val="auto"/>
        </w:rPr>
      </w:pPr>
      <w:r w:rsidRPr="00B70C46">
        <w:rPr>
          <w:color w:val="auto"/>
        </w:rPr>
        <w:t xml:space="preserve">Incorporated </w:t>
      </w:r>
      <w:r w:rsidR="00CC1EAF" w:rsidRPr="00B70C46">
        <w:rPr>
          <w:color w:val="auto"/>
        </w:rPr>
        <w:t>by reference, the provisions of the Office of Management and Budget</w:t>
      </w:r>
      <w:r w:rsidR="00BF16D5" w:rsidRPr="00B70C46">
        <w:rPr>
          <w:color w:val="auto"/>
        </w:rPr>
        <w:t>’s</w:t>
      </w:r>
      <w:r w:rsidR="00CC1EAF" w:rsidRPr="00B70C46">
        <w:rPr>
          <w:color w:val="auto"/>
        </w:rPr>
        <w:t xml:space="preserve"> (OMB) </w:t>
      </w:r>
      <w:r w:rsidR="00BF16D5" w:rsidRPr="00B70C46">
        <w:rPr>
          <w:color w:val="auto"/>
        </w:rPr>
        <w:t>Uniform Guidance / Omni-</w:t>
      </w:r>
      <w:r w:rsidR="00CC1EAF" w:rsidRPr="00B70C46">
        <w:rPr>
          <w:color w:val="auto"/>
        </w:rPr>
        <w:t>circular applicable to grants</w:t>
      </w:r>
      <w:r w:rsidR="00BF16D5" w:rsidRPr="00B70C46">
        <w:rPr>
          <w:color w:val="auto"/>
        </w:rPr>
        <w:t xml:space="preserve">, </w:t>
      </w:r>
      <w:r w:rsidR="00CC1EAF" w:rsidRPr="00B70C46">
        <w:rPr>
          <w:color w:val="auto"/>
        </w:rPr>
        <w:t>cooperative agreements</w:t>
      </w:r>
      <w:r w:rsidR="00BF16D5" w:rsidRPr="00B70C46">
        <w:rPr>
          <w:color w:val="auto"/>
        </w:rPr>
        <w:t>, and other forms of federal financial assistance</w:t>
      </w:r>
      <w:r w:rsidR="00CC1EAF" w:rsidRPr="00B70C46">
        <w:rPr>
          <w:color w:val="auto"/>
        </w:rPr>
        <w:t xml:space="preserve">. </w:t>
      </w:r>
      <w:r w:rsidR="00BF16D5" w:rsidRPr="00B70C46">
        <w:rPr>
          <w:color w:val="auto"/>
        </w:rPr>
        <w:t xml:space="preserve">Applicable OMB rules </w:t>
      </w:r>
      <w:r w:rsidR="00CC1EAF" w:rsidRPr="00B70C46">
        <w:rPr>
          <w:color w:val="auto"/>
        </w:rPr>
        <w:t xml:space="preserve">and </w:t>
      </w:r>
      <w:r w:rsidR="00BF16D5" w:rsidRPr="00B70C46">
        <w:rPr>
          <w:color w:val="auto"/>
        </w:rPr>
        <w:t xml:space="preserve">updated guidance are available from the Council on Financial Assistance Reform website at </w:t>
      </w:r>
      <w:hyperlink r:id="rId8" w:history="1">
        <w:r w:rsidR="00BF16D5" w:rsidRPr="00B70C46">
          <w:rPr>
            <w:rStyle w:val="Hyperlink"/>
          </w:rPr>
          <w:t>https://cof.gov/cofar</w:t>
        </w:r>
      </w:hyperlink>
      <w:r w:rsidR="00BF16D5" w:rsidRPr="00B70C46">
        <w:rPr>
          <w:color w:val="auto"/>
        </w:rPr>
        <w:t xml:space="preserve">. </w:t>
      </w:r>
    </w:p>
    <w:p w14:paraId="15BD816D" w14:textId="77777777" w:rsidR="00CC1EAF" w:rsidRPr="00B70C46" w:rsidRDefault="00CC1EAF" w:rsidP="00CC1EAF">
      <w:pPr>
        <w:pStyle w:val="BodyText"/>
        <w:numPr>
          <w:ilvl w:val="0"/>
          <w:numId w:val="6"/>
        </w:numPr>
        <w:tabs>
          <w:tab w:val="left" w:pos="1360"/>
        </w:tabs>
        <w:spacing w:before="81" w:line="266" w:lineRule="exact"/>
        <w:ind w:right="547"/>
      </w:pPr>
      <w:r w:rsidRPr="00B70C46">
        <w:t>Uniform Administrative Requirements, Cost Principles, and Audit Requirement for Federal Awards (2 CFR Chapters 1 and 2, Parts 200, 215, 220, 225, and 230)</w:t>
      </w:r>
      <w:r w:rsidR="00BF16D5" w:rsidRPr="00B70C46">
        <w:t>, available from the electronic Code of Federal Regulations (“e-cfr) at www.ecfr.gov.</w:t>
      </w:r>
    </w:p>
    <w:p w14:paraId="221AF7FC" w14:textId="2DF86F34" w:rsidR="00CC1EAF" w:rsidRPr="00B70C46" w:rsidRDefault="00BF16D5" w:rsidP="00CC1EAF">
      <w:pPr>
        <w:pStyle w:val="BodyText"/>
        <w:numPr>
          <w:ilvl w:val="0"/>
          <w:numId w:val="6"/>
        </w:numPr>
        <w:tabs>
          <w:tab w:val="left" w:pos="1360"/>
        </w:tabs>
        <w:spacing w:before="79" w:line="266" w:lineRule="exact"/>
        <w:ind w:right="107"/>
      </w:pPr>
      <w:r w:rsidRPr="00B70C46">
        <w:t xml:space="preserve">ONDCP Adoption of the Uniform Guidance or Omni-Circular at </w:t>
      </w:r>
      <w:r w:rsidR="00DE6BC9" w:rsidRPr="00B70C46">
        <w:t>2</w:t>
      </w:r>
      <w:r w:rsidR="00CC1EAF" w:rsidRPr="00B70C46">
        <w:t xml:space="preserve"> CFR Part</w:t>
      </w:r>
      <w:r w:rsidR="00DE6BC9" w:rsidRPr="00B70C46">
        <w:t xml:space="preserve"> 36</w:t>
      </w:r>
      <w:r w:rsidR="00CC1EAF" w:rsidRPr="00B70C46">
        <w:t>03</w:t>
      </w:r>
      <w:r w:rsidRPr="00B70C46">
        <w:t xml:space="preserve"> et seq. </w:t>
      </w:r>
    </w:p>
    <w:p w14:paraId="7FA839A9" w14:textId="3B58FDEE" w:rsidR="00CC1EAF" w:rsidRPr="00B70C46" w:rsidRDefault="00CC1EAF" w:rsidP="00DE6BC9">
      <w:pPr>
        <w:pStyle w:val="BodyText"/>
        <w:numPr>
          <w:ilvl w:val="1"/>
          <w:numId w:val="6"/>
        </w:numPr>
        <w:tabs>
          <w:tab w:val="left" w:pos="1360"/>
        </w:tabs>
        <w:spacing w:before="81" w:line="266" w:lineRule="exact"/>
        <w:ind w:right="181"/>
      </w:pPr>
      <w:r w:rsidRPr="00B70C46">
        <w:t>“Government-wide Debarment and Suspension (N</w:t>
      </w:r>
      <w:r w:rsidR="00DE6BC9" w:rsidRPr="00B70C46">
        <w:t>onprocurement),” (adopted and codified by 2 CFR Part 3603</w:t>
      </w:r>
      <w:r w:rsidRPr="00B70C46">
        <w:t>)</w:t>
      </w:r>
    </w:p>
    <w:p w14:paraId="73B914A8" w14:textId="4CACB622" w:rsidR="00CC1EAF" w:rsidRPr="00B70C46" w:rsidRDefault="00CC1EAF" w:rsidP="00DE6BC9">
      <w:pPr>
        <w:pStyle w:val="BodyText"/>
        <w:numPr>
          <w:ilvl w:val="1"/>
          <w:numId w:val="6"/>
        </w:numPr>
        <w:tabs>
          <w:tab w:val="left" w:pos="1360"/>
        </w:tabs>
        <w:spacing w:before="81" w:line="266" w:lineRule="exact"/>
        <w:ind w:right="749"/>
      </w:pPr>
      <w:r w:rsidRPr="00B70C46">
        <w:t>“Government-wide Requirements for Drug-free Workplace (Fin</w:t>
      </w:r>
      <w:r w:rsidR="00DE6BC9" w:rsidRPr="00B70C46">
        <w:t>ancial Assistance)” (adopted and codified by</w:t>
      </w:r>
      <w:r w:rsidRPr="00B70C46">
        <w:t xml:space="preserve"> 2 CFR Part </w:t>
      </w:r>
      <w:r w:rsidR="00DE6BC9" w:rsidRPr="00B70C46">
        <w:t>3603</w:t>
      </w:r>
      <w:r w:rsidRPr="00B70C46">
        <w:t>)</w:t>
      </w:r>
    </w:p>
    <w:p w14:paraId="16ACC1C6" w14:textId="26AFE19A" w:rsidR="006E1436" w:rsidRPr="00B70C46" w:rsidRDefault="006E1436" w:rsidP="006E1436">
      <w:pPr>
        <w:pStyle w:val="BodyText"/>
        <w:numPr>
          <w:ilvl w:val="1"/>
          <w:numId w:val="6"/>
        </w:numPr>
        <w:tabs>
          <w:tab w:val="left" w:pos="1360"/>
        </w:tabs>
        <w:spacing w:before="81" w:line="266" w:lineRule="exact"/>
        <w:ind w:right="749"/>
      </w:pPr>
      <w:r w:rsidRPr="00B70C46">
        <w:t xml:space="preserve">See also </w:t>
      </w:r>
      <w:hyperlink r:id="rId9" w:history="1">
        <w:r w:rsidRPr="00B70C46">
          <w:rPr>
            <w:rStyle w:val="Hyperlink"/>
          </w:rPr>
          <w:t>http://www.gpo.gov/fdsys/pkg/FR-2014-12-19/html/2014-28697.htm</w:t>
        </w:r>
      </w:hyperlink>
      <w:r w:rsidRPr="00B70C46">
        <w:t xml:space="preserve"> </w:t>
      </w:r>
    </w:p>
    <w:p w14:paraId="1E5A726F" w14:textId="77777777" w:rsidR="00CC1EAF" w:rsidRPr="00B70C46" w:rsidRDefault="00CC1EAF" w:rsidP="00CC1EAF">
      <w:pPr>
        <w:pStyle w:val="BodyText"/>
        <w:numPr>
          <w:ilvl w:val="0"/>
          <w:numId w:val="6"/>
        </w:numPr>
        <w:tabs>
          <w:tab w:val="left" w:pos="1360"/>
        </w:tabs>
        <w:spacing w:before="52"/>
      </w:pPr>
      <w:r w:rsidRPr="00B70C46">
        <w:t>“New Restrictions on Lobbying” (Codified at 28 CFR Part 69)</w:t>
      </w:r>
    </w:p>
    <w:p w14:paraId="0EE4DA7A" w14:textId="77777777" w:rsidR="00CC1EAF" w:rsidRPr="00B70C46" w:rsidRDefault="00CC1EAF" w:rsidP="00CC1EAF">
      <w:pPr>
        <w:pStyle w:val="BodyText"/>
        <w:numPr>
          <w:ilvl w:val="0"/>
          <w:numId w:val="6"/>
        </w:numPr>
        <w:tabs>
          <w:tab w:val="left" w:pos="1360"/>
        </w:tabs>
        <w:spacing w:before="52"/>
      </w:pPr>
      <w:r w:rsidRPr="00B70C46">
        <w:t xml:space="preserve">Conflict of Interest and </w:t>
      </w:r>
      <w:r w:rsidR="0099765B" w:rsidRPr="00B70C46">
        <w:t>Mandatory</w:t>
      </w:r>
      <w:r w:rsidRPr="00B70C46">
        <w:t xml:space="preserve"> Disclosure Requirements</w:t>
      </w:r>
    </w:p>
    <w:p w14:paraId="7C9E3F1A" w14:textId="77777777" w:rsidR="00CC1EAF" w:rsidRPr="00B70C46" w:rsidRDefault="00CC1EAF" w:rsidP="00CC1EAF">
      <w:pPr>
        <w:pStyle w:val="BodyText"/>
        <w:numPr>
          <w:ilvl w:val="0"/>
          <w:numId w:val="6"/>
        </w:numPr>
        <w:tabs>
          <w:tab w:val="left" w:pos="1360"/>
        </w:tabs>
        <w:spacing w:before="52"/>
      </w:pPr>
      <w:r w:rsidRPr="00B70C46">
        <w:t>Non-profit Certifications</w:t>
      </w:r>
      <w:r w:rsidR="00BF16D5" w:rsidRPr="00B70C46">
        <w:t xml:space="preserve"> (when applicable)</w:t>
      </w:r>
    </w:p>
    <w:p w14:paraId="5DE7BEE8" w14:textId="4CE1F799" w:rsidR="00056821" w:rsidRPr="00B70C46" w:rsidRDefault="00056821" w:rsidP="00CC1EAF">
      <w:pPr>
        <w:pStyle w:val="BodyText"/>
        <w:numPr>
          <w:ilvl w:val="0"/>
          <w:numId w:val="6"/>
        </w:numPr>
        <w:tabs>
          <w:tab w:val="left" w:pos="1360"/>
        </w:tabs>
        <w:spacing w:before="52"/>
      </w:pPr>
      <w:r w:rsidRPr="00B70C46">
        <w:t>2 CFR 25.110</w:t>
      </w:r>
    </w:p>
    <w:p w14:paraId="1E93AADE" w14:textId="77777777" w:rsidR="007D3974" w:rsidRPr="00DF56D6" w:rsidRDefault="007D3974" w:rsidP="00CC1EAF">
      <w:pPr>
        <w:pStyle w:val="Default"/>
        <w:spacing w:after="49"/>
        <w:rPr>
          <w:color w:val="auto"/>
        </w:rPr>
      </w:pPr>
    </w:p>
    <w:p w14:paraId="1AF177E9" w14:textId="77777777" w:rsidR="00B81F63" w:rsidRPr="0099765B" w:rsidRDefault="00B81F63" w:rsidP="00B81F63">
      <w:pPr>
        <w:pStyle w:val="ListParagraph"/>
        <w:numPr>
          <w:ilvl w:val="0"/>
          <w:numId w:val="8"/>
        </w:numPr>
        <w:rPr>
          <w:rFonts w:ascii="Times New Roman" w:hAnsi="Times New Roman"/>
          <w:sz w:val="24"/>
          <w:szCs w:val="24"/>
        </w:rPr>
      </w:pPr>
      <w:r w:rsidRPr="0099765B">
        <w:rPr>
          <w:rFonts w:ascii="Times New Roman" w:hAnsi="Times New Roman"/>
          <w:sz w:val="24"/>
          <w:szCs w:val="24"/>
        </w:rPr>
        <w:t>Audits conducted pursuant to OMB Circular 2 CFR Chapter 2, Part 200 Subpart F, “Audit Requirements”, m</w:t>
      </w:r>
      <w:r>
        <w:rPr>
          <w:rFonts w:ascii="Times New Roman" w:hAnsi="Times New Roman"/>
          <w:sz w:val="24"/>
          <w:szCs w:val="24"/>
        </w:rPr>
        <w:t>ust be submitted no later than nine</w:t>
      </w:r>
      <w:r w:rsidRPr="0099765B">
        <w:rPr>
          <w:rFonts w:ascii="Times New Roman" w:hAnsi="Times New Roman"/>
          <w:sz w:val="24"/>
          <w:szCs w:val="24"/>
        </w:rPr>
        <w:t xml:space="preserve"> months after the close of the</w:t>
      </w:r>
      <w:r>
        <w:rPr>
          <w:rFonts w:ascii="Times New Roman" w:hAnsi="Times New Roman"/>
          <w:sz w:val="24"/>
          <w:szCs w:val="24"/>
        </w:rPr>
        <w:t xml:space="preserve"> grantee’s audited fiscal year to the Federal Audit Clearinghouse at </w:t>
      </w:r>
      <w:r w:rsidRPr="007D1E7B">
        <w:rPr>
          <w:rFonts w:ascii="Times New Roman" w:hAnsi="Times New Roman"/>
          <w:sz w:val="24"/>
          <w:szCs w:val="24"/>
        </w:rPr>
        <w:t>https://harvest</w:t>
      </w:r>
      <w:r>
        <w:rPr>
          <w:rFonts w:ascii="Times New Roman" w:hAnsi="Times New Roman"/>
          <w:sz w:val="24"/>
          <w:szCs w:val="24"/>
        </w:rPr>
        <w:t>er.census.gov/facweb/.</w:t>
      </w:r>
      <w:r w:rsidRPr="0099765B">
        <w:rPr>
          <w:rFonts w:ascii="Times New Roman" w:hAnsi="Times New Roman"/>
          <w:sz w:val="24"/>
          <w:szCs w:val="24"/>
        </w:rPr>
        <w:t xml:space="preserve"> </w:t>
      </w:r>
    </w:p>
    <w:p w14:paraId="2ACD8660" w14:textId="77777777" w:rsidR="007D3974" w:rsidRPr="00437AA1" w:rsidRDefault="007D3974" w:rsidP="007D3974">
      <w:pPr>
        <w:pStyle w:val="Default"/>
        <w:spacing w:before="120"/>
        <w:ind w:left="691"/>
      </w:pPr>
    </w:p>
    <w:p w14:paraId="29A8DA75" w14:textId="77777777" w:rsidR="002A27BF" w:rsidRPr="00437AA1" w:rsidRDefault="00A04192" w:rsidP="00437AA1">
      <w:pPr>
        <w:pStyle w:val="ListParagraph"/>
        <w:numPr>
          <w:ilvl w:val="0"/>
          <w:numId w:val="8"/>
        </w:numPr>
        <w:tabs>
          <w:tab w:val="left" w:pos="720"/>
        </w:tabs>
        <w:spacing w:after="240"/>
        <w:rPr>
          <w:rFonts w:ascii="Times New Roman" w:hAnsi="Times New Roman"/>
          <w:sz w:val="24"/>
          <w:szCs w:val="24"/>
        </w:rPr>
      </w:pPr>
      <w:r w:rsidRPr="00437AA1">
        <w:rPr>
          <w:rFonts w:ascii="Times New Roman" w:hAnsi="Times New Roman"/>
          <w:sz w:val="24"/>
          <w:szCs w:val="24"/>
        </w:rPr>
        <w:t xml:space="preserve">Grantees are required to submit Federal Financial Reports (FFR) to the Department of Health and Human Services, Division of Payment Management (HHS/DPM). </w:t>
      </w:r>
      <w:r w:rsidR="0053165D" w:rsidRPr="00437AA1">
        <w:rPr>
          <w:rFonts w:ascii="Times New Roman" w:hAnsi="Times New Roman"/>
          <w:sz w:val="24"/>
          <w:szCs w:val="24"/>
        </w:rPr>
        <w:t xml:space="preserve"> </w:t>
      </w:r>
      <w:r w:rsidR="00437AA1" w:rsidRPr="00437AA1">
        <w:rPr>
          <w:rFonts w:ascii="Times New Roman" w:hAnsi="Times New Roman"/>
          <w:sz w:val="24"/>
          <w:szCs w:val="24"/>
        </w:rPr>
        <w:t>Federal Financial Report is required to be submitted quarterly and within 90 days after the grant is closed out.</w:t>
      </w:r>
      <w:r w:rsidR="00437AA1">
        <w:t xml:space="preserve">  </w:t>
      </w:r>
      <w:r w:rsidR="00437AA1" w:rsidRPr="00437AA1">
        <w:rPr>
          <w:rFonts w:ascii="Times New Roman" w:hAnsi="Times New Roman"/>
          <w:sz w:val="24"/>
          <w:szCs w:val="24"/>
        </w:rPr>
        <w:t>Program income must be accounted for and reported on the Federal Financial Report.</w:t>
      </w:r>
    </w:p>
    <w:p w14:paraId="4DD17C37" w14:textId="77777777" w:rsidR="00A04192" w:rsidRPr="00437AA1" w:rsidRDefault="00A04192" w:rsidP="007D3974">
      <w:pPr>
        <w:pStyle w:val="Default"/>
        <w:numPr>
          <w:ilvl w:val="0"/>
          <w:numId w:val="8"/>
        </w:numPr>
        <w:spacing w:after="240"/>
      </w:pPr>
      <w:r w:rsidRPr="00437AA1">
        <w:t>The recipient gives the awarding agency or the Government Accountability Office, through any authorized representative, access to, and the right to examine, all paper or electronic records related to the grant.</w:t>
      </w:r>
    </w:p>
    <w:p w14:paraId="78972F48" w14:textId="77777777" w:rsidR="00A04192" w:rsidRPr="003D3FB3" w:rsidRDefault="00A04192" w:rsidP="00437AA1">
      <w:pPr>
        <w:pStyle w:val="Default"/>
        <w:numPr>
          <w:ilvl w:val="0"/>
          <w:numId w:val="8"/>
        </w:numPr>
      </w:pPr>
      <w:r w:rsidRPr="00437AA1">
        <w:t xml:space="preserve">Recipients of </w:t>
      </w:r>
      <w:r w:rsidR="002A27BF" w:rsidRPr="00437AA1">
        <w:t>OFDCP</w:t>
      </w:r>
      <w:r w:rsidRPr="00437AA1">
        <w:t xml:space="preserve"> funds are not agents of ONDCP.</w:t>
      </w:r>
      <w:r w:rsidR="0053165D" w:rsidRPr="00437AA1">
        <w:t xml:space="preserve"> </w:t>
      </w:r>
      <w:r w:rsidRPr="00437AA1">
        <w:t xml:space="preserve"> Accordingly, the </w:t>
      </w:r>
      <w:r w:rsidR="002A27BF" w:rsidRPr="00437AA1">
        <w:t>grantee</w:t>
      </w:r>
      <w:r w:rsidRPr="00437AA1">
        <w:t xml:space="preserve">, its </w:t>
      </w:r>
      <w:r w:rsidRPr="00437AA1">
        <w:lastRenderedPageBreak/>
        <w:t xml:space="preserve">fiscal agent(s), employees, contractors, as well as state, local, and federal participants, either on a collective basis or on a personal level, shall not hold themselves out as being </w:t>
      </w:r>
      <w:r w:rsidRPr="003D3FB3">
        <w:t xml:space="preserve">part of, or representing, the Executive Office of the President or ONDCP. </w:t>
      </w:r>
    </w:p>
    <w:p w14:paraId="5AFDCD2C" w14:textId="77777777" w:rsidR="00EA12D5" w:rsidRPr="003D3FB3" w:rsidRDefault="00EA12D5" w:rsidP="00EA12D5">
      <w:pPr>
        <w:pStyle w:val="Default"/>
        <w:ind w:left="763"/>
      </w:pPr>
    </w:p>
    <w:p w14:paraId="55B5001A" w14:textId="25D6AC3A" w:rsidR="00EA12D5" w:rsidRPr="003D3FB3" w:rsidRDefault="00F85530" w:rsidP="00EA12D5">
      <w:pPr>
        <w:pStyle w:val="PlainText"/>
        <w:numPr>
          <w:ilvl w:val="0"/>
          <w:numId w:val="8"/>
        </w:numPr>
        <w:rPr>
          <w:rFonts w:ascii="Times New Roman" w:eastAsia="Times New Roman" w:hAnsi="Times New Roman"/>
          <w:color w:val="000000"/>
          <w:sz w:val="24"/>
          <w:szCs w:val="24"/>
        </w:rPr>
      </w:pPr>
      <w:r w:rsidRPr="003D3FB3">
        <w:rPr>
          <w:rFonts w:ascii="Times New Roman" w:eastAsia="Times New Roman" w:hAnsi="Times New Roman"/>
          <w:color w:val="000000"/>
          <w:sz w:val="24"/>
          <w:szCs w:val="24"/>
        </w:rPr>
        <w:t xml:space="preserve">These general terms and conditions as well as </w:t>
      </w:r>
      <w:r w:rsidR="00971269" w:rsidRPr="003D3FB3">
        <w:rPr>
          <w:rFonts w:ascii="Times New Roman" w:eastAsia="Times New Roman" w:hAnsi="Times New Roman"/>
          <w:color w:val="000000"/>
          <w:sz w:val="24"/>
          <w:szCs w:val="24"/>
        </w:rPr>
        <w:t>archiv</w:t>
      </w:r>
      <w:r w:rsidR="004D5CE2" w:rsidRPr="003D3FB3">
        <w:rPr>
          <w:rFonts w:ascii="Times New Roman" w:eastAsia="Times New Roman" w:hAnsi="Times New Roman"/>
          <w:color w:val="000000"/>
          <w:sz w:val="24"/>
          <w:szCs w:val="24"/>
        </w:rPr>
        <w:t>es o</w:t>
      </w:r>
      <w:r w:rsidR="00971269" w:rsidRPr="003D3FB3">
        <w:rPr>
          <w:rFonts w:ascii="Times New Roman" w:eastAsia="Times New Roman" w:hAnsi="Times New Roman"/>
          <w:color w:val="000000"/>
          <w:sz w:val="24"/>
          <w:szCs w:val="24"/>
        </w:rPr>
        <w:t>f previous version</w:t>
      </w:r>
      <w:r w:rsidR="004D5CE2" w:rsidRPr="003D3FB3">
        <w:rPr>
          <w:rFonts w:ascii="Times New Roman" w:eastAsia="Times New Roman" w:hAnsi="Times New Roman"/>
          <w:color w:val="000000"/>
          <w:sz w:val="24"/>
          <w:szCs w:val="24"/>
        </w:rPr>
        <w:t>s</w:t>
      </w:r>
      <w:r w:rsidR="00971269" w:rsidRPr="003D3FB3">
        <w:rPr>
          <w:rFonts w:ascii="Times New Roman" w:eastAsia="Times New Roman" w:hAnsi="Times New Roman"/>
          <w:color w:val="000000"/>
          <w:sz w:val="24"/>
          <w:szCs w:val="24"/>
        </w:rPr>
        <w:t xml:space="preserve"> of the general terms and conditions </w:t>
      </w:r>
      <w:r w:rsidR="00500D86" w:rsidRPr="003D3FB3">
        <w:rPr>
          <w:rFonts w:ascii="Times New Roman" w:eastAsia="Times New Roman" w:hAnsi="Times New Roman"/>
          <w:color w:val="000000"/>
          <w:sz w:val="24"/>
          <w:szCs w:val="24"/>
        </w:rPr>
        <w:t xml:space="preserve">are available online at </w:t>
      </w:r>
      <w:hyperlink r:id="rId10" w:history="1">
        <w:r w:rsidR="003D3FB3" w:rsidRPr="009F0D16">
          <w:rPr>
            <w:rStyle w:val="Hyperlink"/>
            <w:rFonts w:ascii="Times New Roman" w:eastAsia="Times New Roman" w:hAnsi="Times New Roman"/>
            <w:i/>
            <w:sz w:val="24"/>
            <w:szCs w:val="24"/>
          </w:rPr>
          <w:t>www.whitehouse.gov/ondcp</w:t>
        </w:r>
      </w:hyperlink>
      <w:r w:rsidR="003D3FB3" w:rsidRPr="009F0D16">
        <w:rPr>
          <w:rStyle w:val="Hyperlink"/>
          <w:rFonts w:ascii="Times New Roman" w:eastAsia="Times New Roman" w:hAnsi="Times New Roman"/>
          <w:i/>
          <w:sz w:val="24"/>
          <w:szCs w:val="24"/>
        </w:rPr>
        <w:t>/grants</w:t>
      </w:r>
      <w:r w:rsidR="00500D86" w:rsidRPr="003D3FB3">
        <w:rPr>
          <w:rFonts w:ascii="Times New Roman" w:eastAsia="Times New Roman" w:hAnsi="Times New Roman"/>
          <w:color w:val="000000"/>
          <w:sz w:val="24"/>
          <w:szCs w:val="24"/>
        </w:rPr>
        <w:t>.</w:t>
      </w:r>
    </w:p>
    <w:p w14:paraId="1BD1CD99" w14:textId="77777777" w:rsidR="00EB5519" w:rsidRPr="003D3FB3" w:rsidRDefault="00EB5519" w:rsidP="00C55DC2">
      <w:pPr>
        <w:pStyle w:val="ListParagraph"/>
        <w:rPr>
          <w:rFonts w:ascii="Times New Roman" w:hAnsi="Times New Roman"/>
          <w:color w:val="000000"/>
          <w:sz w:val="24"/>
          <w:szCs w:val="24"/>
        </w:rPr>
      </w:pPr>
    </w:p>
    <w:p w14:paraId="122887DA" w14:textId="36FB5579" w:rsidR="00EB5519" w:rsidRPr="00814823" w:rsidRDefault="00EB5519" w:rsidP="004F5314">
      <w:pPr>
        <w:pStyle w:val="NormalWeb"/>
        <w:numPr>
          <w:ilvl w:val="0"/>
          <w:numId w:val="8"/>
        </w:numPr>
        <w:ind w:left="720"/>
        <w:rPr>
          <w:color w:val="000000" w:themeColor="text1"/>
          <w:sz w:val="24"/>
          <w:szCs w:val="24"/>
          <w:lang w:val="en"/>
        </w:rPr>
      </w:pPr>
      <w:r w:rsidRPr="00814823">
        <w:rPr>
          <w:color w:val="000000" w:themeColor="text1"/>
          <w:sz w:val="24"/>
          <w:szCs w:val="24"/>
          <w:lang w:val="en"/>
        </w:rPr>
        <w:t>Conflict of Interest Requirements</w:t>
      </w:r>
      <w:r w:rsidR="00814823" w:rsidRPr="00814823">
        <w:rPr>
          <w:color w:val="000000" w:themeColor="text1"/>
          <w:sz w:val="24"/>
          <w:szCs w:val="24"/>
          <w:lang w:val="en"/>
        </w:rPr>
        <w:t xml:space="preserve"> - </w:t>
      </w:r>
      <w:r w:rsidRPr="00814823">
        <w:rPr>
          <w:color w:val="000000" w:themeColor="text1"/>
          <w:sz w:val="24"/>
          <w:szCs w:val="24"/>
          <w:lang w:val="en"/>
        </w:rPr>
        <w:t>As a non-Federal entity, you must follow ONDCP’s conflict of interest policies for Federal awards. You must disclose in writing any potential conflict of interest to an ONDCP Program Officer, or to the pass-through entity if you are a subrecipient or contractor. This disclosure must take place immediately whether you are an applicant or have an active ONDCP award.</w:t>
      </w:r>
    </w:p>
    <w:p w14:paraId="37F07297" w14:textId="77777777" w:rsidR="00EB5519" w:rsidRPr="003D3FB3" w:rsidRDefault="00EB5519" w:rsidP="00EB5519">
      <w:pPr>
        <w:pStyle w:val="NormalWeb"/>
        <w:ind w:left="720"/>
        <w:rPr>
          <w:color w:val="000000" w:themeColor="text1"/>
          <w:sz w:val="24"/>
          <w:szCs w:val="24"/>
          <w:lang w:val="en"/>
        </w:rPr>
      </w:pPr>
      <w:r w:rsidRPr="003D3FB3">
        <w:rPr>
          <w:color w:val="000000" w:themeColor="text1"/>
          <w:sz w:val="24"/>
          <w:szCs w:val="24"/>
          <w:lang w:val="en"/>
        </w:rPr>
        <w:t>The ONDCP conflict of interest policies apply to subawards as well as contracts, and are as follows:</w:t>
      </w:r>
    </w:p>
    <w:p w14:paraId="1E68CDC5" w14:textId="78BF8575" w:rsidR="00EB5519" w:rsidRPr="003D3FB3" w:rsidRDefault="00EB5519" w:rsidP="00673469">
      <w:pPr>
        <w:pStyle w:val="NormalWeb"/>
        <w:numPr>
          <w:ilvl w:val="0"/>
          <w:numId w:val="18"/>
        </w:numPr>
        <w:rPr>
          <w:color w:val="000000" w:themeColor="text1"/>
          <w:sz w:val="24"/>
          <w:szCs w:val="24"/>
          <w:lang w:val="en"/>
        </w:rPr>
      </w:pPr>
      <w:r w:rsidRPr="003D3FB3">
        <w:rPr>
          <w:color w:val="000000" w:themeColor="text1"/>
          <w:sz w:val="24"/>
          <w:szCs w:val="24"/>
          <w:lang w:val="en"/>
        </w:rPr>
        <w:t>As a non-Federal entity, you must maintain written standards of conduct covering conflicts of interest and governing the performance of your employees engaged in the selection, award, and administration of subawards and contracts.</w:t>
      </w:r>
    </w:p>
    <w:p w14:paraId="35AAB9E9" w14:textId="6A5B98F3" w:rsidR="00EB5519" w:rsidRPr="003D3FB3" w:rsidRDefault="00EB5519" w:rsidP="00673469">
      <w:pPr>
        <w:pStyle w:val="NormalWeb"/>
        <w:numPr>
          <w:ilvl w:val="0"/>
          <w:numId w:val="18"/>
        </w:numPr>
        <w:rPr>
          <w:color w:val="000000" w:themeColor="text1"/>
          <w:sz w:val="24"/>
          <w:szCs w:val="24"/>
          <w:lang w:val="en"/>
        </w:rPr>
      </w:pPr>
      <w:r w:rsidRPr="003D3FB3">
        <w:rPr>
          <w:color w:val="000000" w:themeColor="text1"/>
          <w:sz w:val="24"/>
          <w:szCs w:val="24"/>
          <w:lang w:val="en"/>
        </w:rPr>
        <w:t>None of your employees may participate in the selection, award, or administration of a subaward or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14:paraId="71AAF416" w14:textId="5707A27B" w:rsidR="00EB5519" w:rsidRPr="003D3FB3" w:rsidRDefault="00EB5519" w:rsidP="00C55DC2">
      <w:pPr>
        <w:pStyle w:val="NormalWeb"/>
        <w:numPr>
          <w:ilvl w:val="0"/>
          <w:numId w:val="18"/>
        </w:numPr>
        <w:rPr>
          <w:color w:val="000000" w:themeColor="text1"/>
          <w:sz w:val="24"/>
          <w:szCs w:val="24"/>
          <w:lang w:val="en"/>
        </w:rPr>
      </w:pPr>
      <w:r w:rsidRPr="003D3FB3">
        <w:rPr>
          <w:color w:val="000000" w:themeColor="text1"/>
          <w:sz w:val="24"/>
          <w:szCs w:val="24"/>
          <w:lang w:val="en"/>
        </w:rPr>
        <w:t>If you have a parent, affiliate, or subsidiary organization that is not a State,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p w14:paraId="041C1FEF" w14:textId="7F92725E" w:rsidR="00814823" w:rsidRPr="00814823" w:rsidRDefault="00814823" w:rsidP="00814823">
      <w:pPr>
        <w:pStyle w:val="NormalWeb"/>
        <w:numPr>
          <w:ilvl w:val="0"/>
          <w:numId w:val="8"/>
        </w:numPr>
        <w:rPr>
          <w:color w:val="000000" w:themeColor="text1"/>
          <w:sz w:val="24"/>
          <w:szCs w:val="24"/>
          <w:lang w:val="en"/>
        </w:rPr>
      </w:pPr>
      <w:r>
        <w:rPr>
          <w:color w:val="000000" w:themeColor="text1"/>
          <w:sz w:val="24"/>
          <w:szCs w:val="24"/>
          <w:lang w:val="en"/>
        </w:rPr>
        <w:t xml:space="preserve">Mandatory Disclosure Requirement - </w:t>
      </w:r>
      <w:r w:rsidRPr="000E0CFD">
        <w:rPr>
          <w:color w:val="000000" w:themeColor="text1"/>
          <w:sz w:val="24"/>
          <w:szCs w:val="24"/>
          <w:lang w:val="en"/>
        </w:rPr>
        <w:t>As a non-Federal entity, you or your pass-through entity(s), must disclose, in a timely manner, in writing to the Federal awarding agency or pass-through entity all violations of Federal criminal law involving fraud, bribery or gratuity violations potentially affecting the Federal award.  Failure to make required disclosures can result in remedies such as: temporary withholding of payments pending correction of the deficiency, disallowance of all or part of the costs associated with noncompliance, suspension, termination of award, debarment, or other legally available remedies. (See also 2 CFR Part 180 and 31 U.S.C. 3321)</w:t>
      </w:r>
      <w:r>
        <w:rPr>
          <w:color w:val="000000" w:themeColor="text1"/>
          <w:sz w:val="24"/>
          <w:szCs w:val="24"/>
          <w:lang w:val="en"/>
        </w:rPr>
        <w:t>.</w:t>
      </w:r>
    </w:p>
    <w:p w14:paraId="5AF93341" w14:textId="12EE155D" w:rsidR="00056821" w:rsidRDefault="00056821" w:rsidP="00C55DC2">
      <w:pPr>
        <w:pStyle w:val="Default"/>
        <w:numPr>
          <w:ilvl w:val="0"/>
          <w:numId w:val="8"/>
        </w:numPr>
      </w:pPr>
      <w:r w:rsidRPr="003D3FB3">
        <w:t>Each applicant</w:t>
      </w:r>
      <w:r>
        <w:t xml:space="preserve"> is required to (i) </w:t>
      </w:r>
      <w:r w:rsidR="003D3FB3">
        <w:t>b</w:t>
      </w:r>
      <w:r>
        <w:t xml:space="preserve">e registered in the System for Award Management (SAM) before submitting its application; (ii) provide a valid DUNS number in its </w:t>
      </w:r>
      <w:r>
        <w:lastRenderedPageBreak/>
        <w:t>application; (iii) continue to maintain an active SAM registration with current information at all times during which it has an active Federal award</w:t>
      </w:r>
      <w:r w:rsidR="00360CAB">
        <w:t xml:space="preserve">; and (iv) provide all relevant grantee information required for </w:t>
      </w:r>
      <w:r>
        <w:t xml:space="preserve">ONDCP </w:t>
      </w:r>
      <w:r w:rsidR="00360CAB">
        <w:t>to collect for reporting related to FFATA and DATA Act requirements.</w:t>
      </w:r>
      <w:r w:rsidR="00360CAB" w:rsidRPr="00360CAB" w:rsidDel="00360CAB">
        <w:t xml:space="preserve"> </w:t>
      </w:r>
    </w:p>
    <w:p w14:paraId="5495D3E0" w14:textId="77777777" w:rsidR="003D3FB3" w:rsidRDefault="003D3FB3" w:rsidP="003D3FB3">
      <w:pPr>
        <w:pStyle w:val="Default"/>
        <w:ind w:left="403"/>
      </w:pPr>
    </w:p>
    <w:p w14:paraId="7394CA74" w14:textId="3A972C93" w:rsidR="003D3FB3" w:rsidRDefault="003D3FB3" w:rsidP="00C55DC2">
      <w:pPr>
        <w:pStyle w:val="Default"/>
        <w:numPr>
          <w:ilvl w:val="0"/>
          <w:numId w:val="8"/>
        </w:numPr>
      </w:pPr>
      <w:r>
        <w:t>Sub-awards are not contemplated under this grant award.  However, should grantee identify a need for a sub-award, prior approval by the Federal awarding agency will be required.</w:t>
      </w:r>
    </w:p>
    <w:p w14:paraId="6B5DF73C" w14:textId="77777777" w:rsidR="007416C9" w:rsidRDefault="007416C9" w:rsidP="007416C9">
      <w:pPr>
        <w:pStyle w:val="ListParagraph"/>
      </w:pPr>
    </w:p>
    <w:p w14:paraId="3EEB7E6D" w14:textId="313FCB66" w:rsidR="007416C9" w:rsidRDefault="007416C9" w:rsidP="00C55DC2">
      <w:pPr>
        <w:pStyle w:val="Default"/>
        <w:numPr>
          <w:ilvl w:val="0"/>
          <w:numId w:val="8"/>
        </w:numPr>
      </w:pPr>
      <w:r>
        <w:t>Grantee must comply with the Government-wide Suspension and Debarment provision set forth at 2 CFR Part 180, dealing with all sub-awards and contracts issued under the grant.</w:t>
      </w:r>
    </w:p>
    <w:p w14:paraId="779A6F3D" w14:textId="77777777" w:rsidR="0022115E" w:rsidRDefault="0022115E" w:rsidP="0022115E">
      <w:pPr>
        <w:pStyle w:val="ListParagraph"/>
      </w:pPr>
    </w:p>
    <w:p w14:paraId="06409B82" w14:textId="4D8F4645" w:rsidR="0022115E" w:rsidRDefault="0022115E" w:rsidP="00C55DC2">
      <w:pPr>
        <w:pStyle w:val="Default"/>
        <w:numPr>
          <w:ilvl w:val="0"/>
          <w:numId w:val="8"/>
        </w:numPr>
      </w:pPr>
      <w:r>
        <w:t>As specified in the financial opportunity announcement, grantee must:</w:t>
      </w:r>
    </w:p>
    <w:p w14:paraId="4C212259" w14:textId="77777777" w:rsidR="0022115E" w:rsidRDefault="0022115E" w:rsidP="0022115E">
      <w:pPr>
        <w:pStyle w:val="ListParagraph"/>
      </w:pPr>
    </w:p>
    <w:p w14:paraId="051B20E7" w14:textId="77777777" w:rsidR="0022115E" w:rsidRDefault="0022115E" w:rsidP="0022115E">
      <w:pPr>
        <w:pStyle w:val="Default"/>
        <w:numPr>
          <w:ilvl w:val="1"/>
          <w:numId w:val="8"/>
        </w:numPr>
      </w:pPr>
      <w:r>
        <w:t>Establish and maintain effective internal controls over the Federal award that provides reasonable assurance that the non-Federal entity is managing the Federal award in compliance with Federal statutes, regulations, and the terms and conditions of the Federal award.  These internal controls should be in compliance with the guidance in “Standards for Internal Control in the Federal Government,” issued by the Comptroller General of the United States and the “Internal Control Integrated Framework,” issued by the Committee of Sponsoring Organizations of the Treadway Commission (COSO).</w:t>
      </w:r>
    </w:p>
    <w:p w14:paraId="7CC9E015" w14:textId="77777777" w:rsidR="0022115E" w:rsidRDefault="0022115E" w:rsidP="0022115E">
      <w:pPr>
        <w:pStyle w:val="Default"/>
        <w:numPr>
          <w:ilvl w:val="1"/>
          <w:numId w:val="8"/>
        </w:numPr>
      </w:pPr>
      <w:r>
        <w:t>Comply with Federal statutes, regulations, and the terms and conditions of the Federal awards.</w:t>
      </w:r>
    </w:p>
    <w:p w14:paraId="67A67F3C" w14:textId="77777777" w:rsidR="0022115E" w:rsidRDefault="0022115E" w:rsidP="0022115E">
      <w:pPr>
        <w:pStyle w:val="Default"/>
        <w:numPr>
          <w:ilvl w:val="1"/>
          <w:numId w:val="8"/>
        </w:numPr>
      </w:pPr>
      <w:r>
        <w:t>Evaluate and monitor the non-Federal entity’s compliance with statute, regulations, and the terms and conditions of the Federal awards.</w:t>
      </w:r>
    </w:p>
    <w:p w14:paraId="796C1981" w14:textId="77777777" w:rsidR="0022115E" w:rsidRDefault="0022115E" w:rsidP="0022115E">
      <w:pPr>
        <w:pStyle w:val="Default"/>
        <w:numPr>
          <w:ilvl w:val="1"/>
          <w:numId w:val="8"/>
        </w:numPr>
      </w:pPr>
      <w:r>
        <w:t>Take prompt action when instances of noncompliance are identified, including noncompliance identified in audit findings.</w:t>
      </w:r>
    </w:p>
    <w:p w14:paraId="5FE7AA46" w14:textId="309CB5F6" w:rsidR="000B6776" w:rsidRDefault="0022115E" w:rsidP="00B24DCF">
      <w:pPr>
        <w:pStyle w:val="Default"/>
        <w:numPr>
          <w:ilvl w:val="1"/>
          <w:numId w:val="8"/>
        </w:numPr>
      </w:pPr>
      <w:r>
        <w:t>Take reasonable measures to safeguard protected personally identified information and other information the Federal awarding agency or pass-through entity designates as sensitive or the non-Federal entity considers sensitive consistent with applicable Federal, state, and local laws regarding privacy and obligations of confidentiality.</w:t>
      </w:r>
    </w:p>
    <w:p w14:paraId="17B0C57E" w14:textId="77777777" w:rsidR="00555EB9" w:rsidRDefault="00555EB9" w:rsidP="00555EB9">
      <w:pPr>
        <w:pStyle w:val="Default"/>
        <w:ind w:left="1123"/>
      </w:pPr>
      <w:bookmarkStart w:id="0" w:name="_GoBack"/>
      <w:bookmarkEnd w:id="0"/>
    </w:p>
    <w:p w14:paraId="5FF9CBF1" w14:textId="77777777" w:rsidR="00650434" w:rsidRPr="005632F0" w:rsidRDefault="00A04192" w:rsidP="000A2A1E">
      <w:pPr>
        <w:pStyle w:val="CM14"/>
        <w:spacing w:after="252"/>
        <w:rPr>
          <w:bCs/>
        </w:rPr>
      </w:pPr>
      <w:r w:rsidRPr="00437AA1">
        <w:rPr>
          <w:b/>
          <w:bCs/>
        </w:rPr>
        <w:t xml:space="preserve">B. </w:t>
      </w:r>
      <w:r w:rsidR="007D3974" w:rsidRPr="00437AA1">
        <w:rPr>
          <w:b/>
          <w:bCs/>
        </w:rPr>
        <w:t xml:space="preserve"> </w:t>
      </w:r>
      <w:r w:rsidR="006538CB">
        <w:rPr>
          <w:b/>
          <w:bCs/>
        </w:rPr>
        <w:t xml:space="preserve">Program Specific Terms and </w:t>
      </w:r>
      <w:r w:rsidR="00D55A25">
        <w:rPr>
          <w:b/>
          <w:bCs/>
        </w:rPr>
        <w:t>Conditions</w:t>
      </w:r>
    </w:p>
    <w:p w14:paraId="0D11C8FA" w14:textId="77777777" w:rsidR="00437AA1" w:rsidRPr="00437AA1" w:rsidRDefault="00437AA1" w:rsidP="00437AA1">
      <w:pPr>
        <w:numPr>
          <w:ilvl w:val="0"/>
          <w:numId w:val="12"/>
        </w:numPr>
        <w:rPr>
          <w:rFonts w:ascii="Times New Roman" w:hAnsi="Times New Roman"/>
          <w:sz w:val="24"/>
          <w:szCs w:val="24"/>
        </w:rPr>
      </w:pPr>
      <w:r w:rsidRPr="00437AA1">
        <w:rPr>
          <w:rFonts w:ascii="Times New Roman" w:hAnsi="Times New Roman"/>
          <w:sz w:val="24"/>
          <w:szCs w:val="24"/>
        </w:rPr>
        <w:t>The grantee organization is legally and financially responsible for all aspects of this grant, including funds provided to sub-recipients.</w:t>
      </w:r>
    </w:p>
    <w:p w14:paraId="7E57CBEC" w14:textId="77777777" w:rsidR="00437AA1" w:rsidRPr="00437AA1" w:rsidRDefault="00437AA1" w:rsidP="00437AA1">
      <w:pPr>
        <w:ind w:left="360"/>
        <w:rPr>
          <w:rFonts w:ascii="Times New Roman" w:hAnsi="Times New Roman"/>
          <w:sz w:val="24"/>
          <w:szCs w:val="24"/>
        </w:rPr>
      </w:pPr>
    </w:p>
    <w:p w14:paraId="09372A47" w14:textId="77777777" w:rsidR="00437AA1" w:rsidRDefault="00437AA1" w:rsidP="00437AA1">
      <w:pPr>
        <w:numPr>
          <w:ilvl w:val="0"/>
          <w:numId w:val="12"/>
        </w:numPr>
        <w:tabs>
          <w:tab w:val="left" w:pos="720"/>
        </w:tabs>
        <w:rPr>
          <w:rFonts w:ascii="Times New Roman" w:hAnsi="Times New Roman"/>
          <w:sz w:val="24"/>
          <w:szCs w:val="24"/>
        </w:rPr>
      </w:pPr>
      <w:r w:rsidRPr="00437AA1">
        <w:rPr>
          <w:rFonts w:ascii="Times New Roman" w:hAnsi="Times New Roman"/>
          <w:sz w:val="24"/>
          <w:szCs w:val="24"/>
        </w:rPr>
        <w:t>Grant funds cannot be used to supplant current funding of existing activities.</w:t>
      </w:r>
    </w:p>
    <w:p w14:paraId="245D9DEB" w14:textId="77777777" w:rsidR="00F80848" w:rsidRDefault="00F80848" w:rsidP="00242BA4">
      <w:pPr>
        <w:pStyle w:val="ListParagraph"/>
        <w:rPr>
          <w:rFonts w:ascii="Times New Roman" w:hAnsi="Times New Roman"/>
          <w:sz w:val="24"/>
          <w:szCs w:val="24"/>
        </w:rPr>
      </w:pPr>
    </w:p>
    <w:p w14:paraId="367FF5B9" w14:textId="77777777" w:rsidR="00F80848" w:rsidRDefault="00F80848" w:rsidP="00437AA1">
      <w:pPr>
        <w:numPr>
          <w:ilvl w:val="0"/>
          <w:numId w:val="12"/>
        </w:numPr>
        <w:tabs>
          <w:tab w:val="left" w:pos="720"/>
        </w:tabs>
        <w:rPr>
          <w:rFonts w:ascii="Times New Roman" w:hAnsi="Times New Roman"/>
          <w:sz w:val="24"/>
          <w:szCs w:val="24"/>
        </w:rPr>
      </w:pPr>
      <w:r>
        <w:rPr>
          <w:rFonts w:ascii="Times New Roman" w:hAnsi="Times New Roman"/>
          <w:sz w:val="24"/>
          <w:szCs w:val="24"/>
        </w:rPr>
        <w:t xml:space="preserve">All program authority and responsibility inherent in the Federal stewardship role shall remain with the Office of National Drug Control Policy (ONDCP).  ONDCP will work in conjunction with the recipient to routinely review and refine the work plan so that the program’s goals and objectives can be effectively accomplished.  ONDCP will monitor the project on a continual basis by maintaining ongoing contact with the recipient and </w:t>
      </w:r>
      <w:r>
        <w:rPr>
          <w:rFonts w:ascii="Times New Roman" w:hAnsi="Times New Roman"/>
          <w:sz w:val="24"/>
          <w:szCs w:val="24"/>
        </w:rPr>
        <w:lastRenderedPageBreak/>
        <w:t>will provide input to the program’s direction, in consultation with the recipient, as needed.</w:t>
      </w:r>
    </w:p>
    <w:p w14:paraId="66027A45" w14:textId="77777777" w:rsidR="00F80848" w:rsidRDefault="00F80848" w:rsidP="00242BA4">
      <w:pPr>
        <w:pStyle w:val="ListParagraph"/>
        <w:rPr>
          <w:rFonts w:ascii="Times New Roman" w:hAnsi="Times New Roman"/>
          <w:sz w:val="24"/>
          <w:szCs w:val="24"/>
        </w:rPr>
      </w:pPr>
    </w:p>
    <w:p w14:paraId="08198E86" w14:textId="77777777" w:rsidR="00F80848" w:rsidRDefault="00F80848" w:rsidP="00437AA1">
      <w:pPr>
        <w:numPr>
          <w:ilvl w:val="0"/>
          <w:numId w:val="12"/>
        </w:numPr>
        <w:tabs>
          <w:tab w:val="left" w:pos="720"/>
        </w:tabs>
        <w:rPr>
          <w:rFonts w:ascii="Times New Roman" w:hAnsi="Times New Roman"/>
          <w:sz w:val="24"/>
          <w:szCs w:val="24"/>
        </w:rPr>
      </w:pPr>
      <w:r>
        <w:rPr>
          <w:rFonts w:ascii="Times New Roman" w:hAnsi="Times New Roman"/>
          <w:sz w:val="24"/>
          <w:szCs w:val="24"/>
        </w:rPr>
        <w:t>The recipient agrees to submit to ONDCP for review and approval any curricula, training materials, proposed publications, reports, or any other written materials that will be</w:t>
      </w:r>
      <w:r w:rsidR="00242BA4">
        <w:rPr>
          <w:rFonts w:ascii="Times New Roman" w:hAnsi="Times New Roman"/>
          <w:sz w:val="24"/>
          <w:szCs w:val="24"/>
        </w:rPr>
        <w:t xml:space="preserve"> </w:t>
      </w:r>
      <w:r>
        <w:rPr>
          <w:rFonts w:ascii="Times New Roman" w:hAnsi="Times New Roman"/>
          <w:sz w:val="24"/>
          <w:szCs w:val="24"/>
        </w:rPr>
        <w:t>published, including web-based materials and web</w:t>
      </w:r>
      <w:r w:rsidR="00CD7DFC">
        <w:rPr>
          <w:rFonts w:ascii="Times New Roman" w:hAnsi="Times New Roman"/>
          <w:sz w:val="24"/>
          <w:szCs w:val="24"/>
        </w:rPr>
        <w:t xml:space="preserve"> </w:t>
      </w:r>
      <w:r>
        <w:rPr>
          <w:rFonts w:ascii="Times New Roman" w:hAnsi="Times New Roman"/>
          <w:sz w:val="24"/>
          <w:szCs w:val="24"/>
        </w:rPr>
        <w:t xml:space="preserve">site content, through funds from this grant, at least thirty (30) working days prior to the targeted dissemination date.  Any written, visual or audio publications, with the exception of press releases, whether published at the grantee’s or government’s expense, shall contain the following statements: “This project was supported by Grant No. </w:t>
      </w:r>
      <w:r w:rsidR="006063BB">
        <w:rPr>
          <w:rFonts w:ascii="Times New Roman" w:hAnsi="Times New Roman"/>
          <w:sz w:val="24"/>
          <w:szCs w:val="24"/>
        </w:rPr>
        <w:t>G1</w:t>
      </w:r>
      <w:r w:rsidR="006D3498">
        <w:rPr>
          <w:rFonts w:ascii="Times New Roman" w:hAnsi="Times New Roman"/>
          <w:sz w:val="24"/>
          <w:szCs w:val="24"/>
        </w:rPr>
        <w:t>5</w:t>
      </w:r>
      <w:r w:rsidR="006063BB">
        <w:rPr>
          <w:rFonts w:ascii="Times New Roman" w:hAnsi="Times New Roman"/>
          <w:sz w:val="24"/>
          <w:szCs w:val="24"/>
        </w:rPr>
        <w:t>99ONDCP03A</w:t>
      </w:r>
      <w:r w:rsidR="008F3DEF">
        <w:rPr>
          <w:rFonts w:ascii="Times New Roman" w:hAnsi="Times New Roman"/>
          <w:sz w:val="24"/>
          <w:szCs w:val="24"/>
        </w:rPr>
        <w:t xml:space="preserve">, </w:t>
      </w:r>
      <w:r>
        <w:rPr>
          <w:rFonts w:ascii="Times New Roman" w:hAnsi="Times New Roman"/>
          <w:sz w:val="24"/>
          <w:szCs w:val="24"/>
        </w:rPr>
        <w:t>awarded by the Office of National Drug Control Policy.  Points of view or opinions in this document are those of the author</w:t>
      </w:r>
      <w:r w:rsidR="00CD7DFC">
        <w:rPr>
          <w:rFonts w:ascii="Times New Roman" w:hAnsi="Times New Roman"/>
          <w:sz w:val="24"/>
          <w:szCs w:val="24"/>
        </w:rPr>
        <w:t xml:space="preserve"> and do not necessarily represent the official position or policies of the Office of National Drug Control Policy or the United States Government.”</w:t>
      </w:r>
    </w:p>
    <w:p w14:paraId="577D5BE8" w14:textId="77777777" w:rsidR="00CD7DFC" w:rsidRDefault="00CD7DFC" w:rsidP="00242BA4">
      <w:pPr>
        <w:pStyle w:val="ListParagraph"/>
        <w:rPr>
          <w:rFonts w:ascii="Times New Roman" w:hAnsi="Times New Roman"/>
          <w:sz w:val="24"/>
          <w:szCs w:val="24"/>
        </w:rPr>
      </w:pPr>
    </w:p>
    <w:p w14:paraId="7F3BBA14" w14:textId="77777777" w:rsidR="00CD7DFC" w:rsidRDefault="00CD7DFC" w:rsidP="00437AA1">
      <w:pPr>
        <w:numPr>
          <w:ilvl w:val="0"/>
          <w:numId w:val="12"/>
        </w:numPr>
        <w:tabs>
          <w:tab w:val="left" w:pos="720"/>
        </w:tabs>
        <w:rPr>
          <w:rFonts w:ascii="Times New Roman" w:hAnsi="Times New Roman"/>
          <w:sz w:val="24"/>
          <w:szCs w:val="24"/>
        </w:rPr>
      </w:pPr>
      <w:r>
        <w:rPr>
          <w:rFonts w:ascii="Times New Roman" w:hAnsi="Times New Roman"/>
          <w:sz w:val="24"/>
          <w:szCs w:val="24"/>
        </w:rPr>
        <w:t>Any web site that is funded in whole or in part under this award must include the following statement on the home page, on all major entry pages (i.e., pages (exclusive of documents) whose primary purpose is to navigate the user to interior content), and on any pages from which a visitor may access or use a Web-based service, including any pages that provide results or outputs from the service:</w:t>
      </w:r>
    </w:p>
    <w:p w14:paraId="315E9990" w14:textId="77777777" w:rsidR="00CD7DFC" w:rsidRDefault="00CD7DFC" w:rsidP="00242BA4">
      <w:pPr>
        <w:pStyle w:val="ListParagraph"/>
        <w:rPr>
          <w:rFonts w:ascii="Times New Roman" w:hAnsi="Times New Roman"/>
          <w:sz w:val="24"/>
          <w:szCs w:val="24"/>
        </w:rPr>
      </w:pPr>
    </w:p>
    <w:p w14:paraId="6A395AE0" w14:textId="77777777" w:rsidR="009C1F9E" w:rsidRDefault="00CD7DFC" w:rsidP="00771131">
      <w:pPr>
        <w:ind w:left="720"/>
        <w:rPr>
          <w:rFonts w:ascii="Times New Roman" w:hAnsi="Times New Roman"/>
          <w:sz w:val="24"/>
          <w:szCs w:val="24"/>
        </w:rPr>
      </w:pPr>
      <w:r w:rsidRPr="009C1F9E">
        <w:rPr>
          <w:rFonts w:ascii="Times New Roman" w:hAnsi="Times New Roman"/>
          <w:sz w:val="24"/>
          <w:szCs w:val="24"/>
        </w:rPr>
        <w:t>“This Web site is funded from a grant from the Office of National Drug Control Policy.  Neither the Office of National Drug Control Policy, nor any other Federal instrumentality operate, control, are responsible for, or necessarily endorse this Web site (including without limitation, its content, technical infrastructure, and policies, and any services or tools provided).”</w:t>
      </w:r>
    </w:p>
    <w:p w14:paraId="43FFE7A3" w14:textId="77777777" w:rsidR="009C1F9E" w:rsidRDefault="009C1F9E" w:rsidP="009C1F9E">
      <w:pPr>
        <w:pStyle w:val="ListParagraph"/>
        <w:rPr>
          <w:rFonts w:ascii="Times New Roman" w:hAnsi="Times New Roman"/>
          <w:sz w:val="24"/>
          <w:szCs w:val="24"/>
        </w:rPr>
      </w:pPr>
    </w:p>
    <w:p w14:paraId="6E11D25C" w14:textId="2B222EAE" w:rsidR="00242BA4" w:rsidRPr="009C1F9E" w:rsidRDefault="00A850D0" w:rsidP="009C1F9E">
      <w:pPr>
        <w:tabs>
          <w:tab w:val="left" w:pos="720"/>
        </w:tabs>
        <w:ind w:left="720"/>
        <w:rPr>
          <w:rFonts w:ascii="Times New Roman" w:hAnsi="Times New Roman"/>
          <w:sz w:val="24"/>
          <w:szCs w:val="24"/>
        </w:rPr>
      </w:pPr>
      <w:r w:rsidRPr="009C1F9E">
        <w:rPr>
          <w:rFonts w:ascii="Times New Roman" w:hAnsi="Times New Roman"/>
          <w:sz w:val="24"/>
          <w:szCs w:val="24"/>
        </w:rPr>
        <w:t>The full text of the foregoing statement must be clearly visible on the home page.  On</w:t>
      </w:r>
      <w:r w:rsidR="009C1F9E" w:rsidRPr="009C1F9E">
        <w:rPr>
          <w:rFonts w:ascii="Times New Roman" w:hAnsi="Times New Roman"/>
          <w:sz w:val="24"/>
          <w:szCs w:val="24"/>
        </w:rPr>
        <w:t xml:space="preserve"> </w:t>
      </w:r>
      <w:r w:rsidRPr="009C1F9E">
        <w:rPr>
          <w:rFonts w:ascii="Times New Roman" w:hAnsi="Times New Roman"/>
          <w:sz w:val="24"/>
          <w:szCs w:val="24"/>
        </w:rPr>
        <w:t>other pages, the statement may be included through a lin</w:t>
      </w:r>
      <w:r w:rsidR="009C1F9E" w:rsidRPr="009C1F9E">
        <w:rPr>
          <w:rFonts w:ascii="Times New Roman" w:hAnsi="Times New Roman"/>
          <w:sz w:val="24"/>
          <w:szCs w:val="24"/>
        </w:rPr>
        <w:t xml:space="preserve">k, entitled “Notice of Federal </w:t>
      </w:r>
      <w:r w:rsidRPr="009C1F9E">
        <w:rPr>
          <w:rFonts w:ascii="Times New Roman" w:hAnsi="Times New Roman"/>
          <w:sz w:val="24"/>
          <w:szCs w:val="24"/>
        </w:rPr>
        <w:t>funding and Federal disclaimer,” to the full text of the statement.</w:t>
      </w:r>
    </w:p>
    <w:p w14:paraId="3CC010A1" w14:textId="77777777" w:rsidR="00242BA4" w:rsidRDefault="00242BA4" w:rsidP="006247C0">
      <w:pPr>
        <w:pStyle w:val="ListParagraph"/>
        <w:rPr>
          <w:rFonts w:ascii="Times New Roman" w:hAnsi="Times New Roman"/>
          <w:sz w:val="24"/>
          <w:szCs w:val="24"/>
        </w:rPr>
      </w:pPr>
    </w:p>
    <w:p w14:paraId="7057813C" w14:textId="77777777" w:rsidR="00971268" w:rsidRDefault="00A850D0" w:rsidP="00971268">
      <w:pPr>
        <w:pStyle w:val="ListParagraph"/>
        <w:numPr>
          <w:ilvl w:val="0"/>
          <w:numId w:val="12"/>
        </w:numPr>
        <w:rPr>
          <w:rFonts w:ascii="Times New Roman" w:hAnsi="Times New Roman"/>
          <w:sz w:val="24"/>
          <w:szCs w:val="24"/>
        </w:rPr>
      </w:pPr>
      <w:r w:rsidRPr="00971268">
        <w:rPr>
          <w:rFonts w:ascii="Times New Roman" w:hAnsi="Times New Roman"/>
          <w:sz w:val="24"/>
          <w:szCs w:val="24"/>
        </w:rPr>
        <w:t>The recipient acknowledges that the Office of National Drug Control Policy (ONDCP)</w:t>
      </w:r>
      <w:r w:rsidR="003B38A0" w:rsidRPr="00971268">
        <w:rPr>
          <w:rFonts w:ascii="Times New Roman" w:hAnsi="Times New Roman"/>
          <w:sz w:val="24"/>
          <w:szCs w:val="24"/>
        </w:rPr>
        <w:t xml:space="preserve"> </w:t>
      </w:r>
      <w:r w:rsidRPr="00971268">
        <w:rPr>
          <w:rFonts w:ascii="Times New Roman" w:hAnsi="Times New Roman"/>
          <w:sz w:val="24"/>
          <w:szCs w:val="24"/>
        </w:rPr>
        <w:t>reserves a royalty-free, non-exclusive, and irrevocable license to reproduce, publish or</w:t>
      </w:r>
      <w:r w:rsidR="00971268" w:rsidRPr="00971268">
        <w:rPr>
          <w:rFonts w:ascii="Times New Roman" w:hAnsi="Times New Roman"/>
          <w:sz w:val="24"/>
          <w:szCs w:val="24"/>
        </w:rPr>
        <w:t xml:space="preserve"> </w:t>
      </w:r>
      <w:r w:rsidRPr="00971268">
        <w:rPr>
          <w:rFonts w:ascii="Times New Roman" w:hAnsi="Times New Roman"/>
          <w:sz w:val="24"/>
          <w:szCs w:val="24"/>
        </w:rPr>
        <w:t xml:space="preserve">otherwise use, and authorize </w:t>
      </w:r>
      <w:r w:rsidR="00FF7A0C" w:rsidRPr="00971268">
        <w:rPr>
          <w:rFonts w:ascii="Times New Roman" w:hAnsi="Times New Roman"/>
          <w:sz w:val="24"/>
          <w:szCs w:val="24"/>
        </w:rPr>
        <w:t>o</w:t>
      </w:r>
      <w:r w:rsidRPr="00971268">
        <w:rPr>
          <w:rFonts w:ascii="Times New Roman" w:hAnsi="Times New Roman"/>
          <w:sz w:val="24"/>
          <w:szCs w:val="24"/>
        </w:rPr>
        <w:t>thers to use (in whole or in part, including in connection</w:t>
      </w:r>
      <w:r w:rsidR="00971268" w:rsidRPr="00971268">
        <w:rPr>
          <w:rFonts w:ascii="Times New Roman" w:hAnsi="Times New Roman"/>
          <w:sz w:val="24"/>
          <w:szCs w:val="24"/>
        </w:rPr>
        <w:t xml:space="preserve"> </w:t>
      </w:r>
      <w:r w:rsidRPr="00971268">
        <w:rPr>
          <w:rFonts w:ascii="Times New Roman" w:hAnsi="Times New Roman"/>
          <w:sz w:val="24"/>
          <w:szCs w:val="24"/>
        </w:rPr>
        <w:t>with derivative works), for Federal purposes: (1) any work subject to copyright</w:t>
      </w:r>
      <w:r w:rsidR="003B38A0" w:rsidRPr="00971268">
        <w:rPr>
          <w:rFonts w:ascii="Times New Roman" w:hAnsi="Times New Roman"/>
          <w:sz w:val="24"/>
          <w:szCs w:val="24"/>
        </w:rPr>
        <w:t xml:space="preserve"> </w:t>
      </w:r>
      <w:r w:rsidRPr="00971268">
        <w:rPr>
          <w:rFonts w:ascii="Times New Roman" w:hAnsi="Times New Roman"/>
          <w:sz w:val="24"/>
          <w:szCs w:val="24"/>
        </w:rPr>
        <w:t>developed under an award</w:t>
      </w:r>
      <w:r w:rsidR="00242BA4" w:rsidRPr="00971268">
        <w:rPr>
          <w:rFonts w:ascii="Times New Roman" w:hAnsi="Times New Roman"/>
          <w:sz w:val="24"/>
          <w:szCs w:val="24"/>
        </w:rPr>
        <w:t xml:space="preserve"> </w:t>
      </w:r>
      <w:r w:rsidRPr="00971268">
        <w:rPr>
          <w:rFonts w:ascii="Times New Roman" w:hAnsi="Times New Roman"/>
          <w:sz w:val="24"/>
          <w:szCs w:val="24"/>
        </w:rPr>
        <w:t>or sub</w:t>
      </w:r>
      <w:r w:rsidR="006D3498" w:rsidRPr="00971268">
        <w:rPr>
          <w:rFonts w:ascii="Times New Roman" w:hAnsi="Times New Roman"/>
          <w:sz w:val="24"/>
          <w:szCs w:val="24"/>
        </w:rPr>
        <w:t>-</w:t>
      </w:r>
      <w:r w:rsidRPr="00971268">
        <w:rPr>
          <w:rFonts w:ascii="Times New Roman" w:hAnsi="Times New Roman"/>
          <w:sz w:val="24"/>
          <w:szCs w:val="24"/>
        </w:rPr>
        <w:t>award; and (2) any rights of copyright to which a</w:t>
      </w:r>
      <w:r w:rsidR="00971268" w:rsidRPr="00971268">
        <w:rPr>
          <w:rFonts w:ascii="Times New Roman" w:hAnsi="Times New Roman"/>
          <w:sz w:val="24"/>
          <w:szCs w:val="24"/>
        </w:rPr>
        <w:t xml:space="preserve"> </w:t>
      </w:r>
      <w:r w:rsidRPr="00971268">
        <w:rPr>
          <w:rFonts w:ascii="Times New Roman" w:hAnsi="Times New Roman"/>
          <w:sz w:val="24"/>
          <w:szCs w:val="24"/>
        </w:rPr>
        <w:t xml:space="preserve">recipient or </w:t>
      </w:r>
      <w:r w:rsidR="002C70AB" w:rsidRPr="00971268">
        <w:rPr>
          <w:rFonts w:ascii="Times New Roman" w:hAnsi="Times New Roman"/>
          <w:sz w:val="24"/>
          <w:szCs w:val="24"/>
        </w:rPr>
        <w:t>sub-recipient</w:t>
      </w:r>
      <w:r w:rsidRPr="00971268">
        <w:rPr>
          <w:rFonts w:ascii="Times New Roman" w:hAnsi="Times New Roman"/>
          <w:sz w:val="24"/>
          <w:szCs w:val="24"/>
        </w:rPr>
        <w:t xml:space="preserve"> purchases ownership with Federal support.</w:t>
      </w:r>
    </w:p>
    <w:p w14:paraId="68DC5523" w14:textId="77777777" w:rsidR="00971268" w:rsidRDefault="00971268" w:rsidP="00971268">
      <w:pPr>
        <w:ind w:left="360"/>
        <w:rPr>
          <w:rFonts w:ascii="Times New Roman" w:hAnsi="Times New Roman"/>
          <w:sz w:val="24"/>
          <w:szCs w:val="24"/>
        </w:rPr>
      </w:pPr>
    </w:p>
    <w:p w14:paraId="58E28C14" w14:textId="6805D514" w:rsidR="00A850D0" w:rsidRPr="00971268" w:rsidRDefault="00A850D0" w:rsidP="00971268">
      <w:pPr>
        <w:ind w:left="720"/>
        <w:rPr>
          <w:rFonts w:ascii="Times New Roman" w:hAnsi="Times New Roman"/>
          <w:sz w:val="24"/>
          <w:szCs w:val="24"/>
        </w:rPr>
      </w:pPr>
      <w:r w:rsidRPr="00971268">
        <w:rPr>
          <w:rFonts w:ascii="Times New Roman" w:hAnsi="Times New Roman"/>
          <w:sz w:val="24"/>
          <w:szCs w:val="24"/>
        </w:rPr>
        <w:t>The recipient acknowledges that ONDCP has the right to (1) obtain, reproduce, publish,</w:t>
      </w:r>
      <w:r w:rsidR="00971268" w:rsidRPr="00971268">
        <w:rPr>
          <w:rFonts w:ascii="Times New Roman" w:hAnsi="Times New Roman"/>
          <w:sz w:val="24"/>
          <w:szCs w:val="24"/>
        </w:rPr>
        <w:t xml:space="preserve"> </w:t>
      </w:r>
      <w:r w:rsidRPr="00971268">
        <w:rPr>
          <w:rFonts w:ascii="Times New Roman" w:hAnsi="Times New Roman"/>
          <w:sz w:val="24"/>
          <w:szCs w:val="24"/>
        </w:rPr>
        <w:t>or otherwise use the data first produced under an award or sub</w:t>
      </w:r>
      <w:r w:rsidR="00A92CE1" w:rsidRPr="00971268">
        <w:rPr>
          <w:rFonts w:ascii="Times New Roman" w:hAnsi="Times New Roman"/>
          <w:sz w:val="24"/>
          <w:szCs w:val="24"/>
        </w:rPr>
        <w:t>-</w:t>
      </w:r>
      <w:r w:rsidRPr="00971268">
        <w:rPr>
          <w:rFonts w:ascii="Times New Roman" w:hAnsi="Times New Roman"/>
          <w:sz w:val="24"/>
          <w:szCs w:val="24"/>
        </w:rPr>
        <w:t xml:space="preserve">award; and (2) authorize others to receive, reproduce, publish, or otherwise use such data for Federal purposes. </w:t>
      </w:r>
      <w:r w:rsidR="00971268" w:rsidRPr="00971268">
        <w:rPr>
          <w:rFonts w:ascii="Times New Roman" w:hAnsi="Times New Roman"/>
          <w:sz w:val="24"/>
          <w:szCs w:val="24"/>
        </w:rPr>
        <w:t xml:space="preserve"> </w:t>
      </w:r>
      <w:r w:rsidRPr="00971268">
        <w:rPr>
          <w:rFonts w:ascii="Times New Roman" w:hAnsi="Times New Roman"/>
          <w:sz w:val="24"/>
          <w:szCs w:val="24"/>
        </w:rPr>
        <w:t xml:space="preserve">“Data” includes </w:t>
      </w:r>
      <w:r w:rsidR="00E25829" w:rsidRPr="00971268">
        <w:rPr>
          <w:rFonts w:ascii="Times New Roman" w:hAnsi="Times New Roman"/>
          <w:sz w:val="24"/>
          <w:szCs w:val="24"/>
        </w:rPr>
        <w:t xml:space="preserve">data as defined in Federal Acquisition Regulation (FAR) provision 52.227-14 (Rights in Data – General). </w:t>
      </w:r>
      <w:r w:rsidR="00215ACF" w:rsidRPr="00971268">
        <w:rPr>
          <w:rFonts w:ascii="Times New Roman" w:hAnsi="Times New Roman"/>
          <w:sz w:val="24"/>
          <w:szCs w:val="24"/>
        </w:rPr>
        <w:t>48 CFR 52.226-14.</w:t>
      </w:r>
    </w:p>
    <w:p w14:paraId="0624B21D" w14:textId="77777777" w:rsidR="00E25829" w:rsidRDefault="00E25829" w:rsidP="00242BA4">
      <w:pPr>
        <w:rPr>
          <w:rFonts w:ascii="Times New Roman" w:hAnsi="Times New Roman"/>
          <w:sz w:val="24"/>
          <w:szCs w:val="24"/>
        </w:rPr>
      </w:pPr>
    </w:p>
    <w:p w14:paraId="48D1A3A7" w14:textId="77777777" w:rsidR="00E25829" w:rsidRDefault="00E25829" w:rsidP="006247C0">
      <w:pPr>
        <w:ind w:firstLine="720"/>
        <w:rPr>
          <w:rFonts w:ascii="Times New Roman" w:hAnsi="Times New Roman"/>
          <w:sz w:val="24"/>
          <w:szCs w:val="24"/>
        </w:rPr>
      </w:pPr>
      <w:r>
        <w:rPr>
          <w:rFonts w:ascii="Times New Roman" w:hAnsi="Times New Roman"/>
          <w:sz w:val="24"/>
          <w:szCs w:val="24"/>
        </w:rPr>
        <w:t xml:space="preserve">It is the responsibility of the recipient (and of each </w:t>
      </w:r>
      <w:r w:rsidR="002C70AB">
        <w:rPr>
          <w:rFonts w:ascii="Times New Roman" w:hAnsi="Times New Roman"/>
          <w:sz w:val="24"/>
          <w:szCs w:val="24"/>
        </w:rPr>
        <w:t>sub-recipient</w:t>
      </w:r>
      <w:r>
        <w:rPr>
          <w:rFonts w:ascii="Times New Roman" w:hAnsi="Times New Roman"/>
          <w:sz w:val="24"/>
          <w:szCs w:val="24"/>
        </w:rPr>
        <w:t>, if applicable) to ensure</w:t>
      </w:r>
      <w:r w:rsidR="0055715D">
        <w:rPr>
          <w:rFonts w:ascii="Times New Roman" w:hAnsi="Times New Roman"/>
          <w:sz w:val="24"/>
          <w:szCs w:val="24"/>
        </w:rPr>
        <w:t xml:space="preserve"> </w:t>
      </w:r>
      <w:r w:rsidR="0055715D">
        <w:rPr>
          <w:rFonts w:ascii="Times New Roman" w:hAnsi="Times New Roman"/>
          <w:sz w:val="24"/>
          <w:szCs w:val="24"/>
        </w:rPr>
        <w:tab/>
      </w:r>
      <w:r>
        <w:rPr>
          <w:rFonts w:ascii="Times New Roman" w:hAnsi="Times New Roman"/>
          <w:sz w:val="24"/>
          <w:szCs w:val="24"/>
        </w:rPr>
        <w:t>that this condition is included in any sub</w:t>
      </w:r>
      <w:r w:rsidR="0055715D">
        <w:rPr>
          <w:rFonts w:ascii="Times New Roman" w:hAnsi="Times New Roman"/>
          <w:sz w:val="24"/>
          <w:szCs w:val="24"/>
        </w:rPr>
        <w:t>-</w:t>
      </w:r>
      <w:r>
        <w:rPr>
          <w:rFonts w:ascii="Times New Roman" w:hAnsi="Times New Roman"/>
          <w:sz w:val="24"/>
          <w:szCs w:val="24"/>
        </w:rPr>
        <w:t>award under this award.</w:t>
      </w:r>
    </w:p>
    <w:p w14:paraId="2D802273" w14:textId="77777777" w:rsidR="00E25829" w:rsidRDefault="00E25829" w:rsidP="00242BA4">
      <w:pPr>
        <w:rPr>
          <w:rFonts w:ascii="Times New Roman" w:hAnsi="Times New Roman"/>
          <w:sz w:val="24"/>
          <w:szCs w:val="24"/>
        </w:rPr>
      </w:pPr>
    </w:p>
    <w:p w14:paraId="44C65106" w14:textId="77777777" w:rsidR="00971268" w:rsidRDefault="00E25829" w:rsidP="00971268">
      <w:pPr>
        <w:ind w:firstLine="720"/>
        <w:rPr>
          <w:rFonts w:ascii="Times New Roman" w:hAnsi="Times New Roman"/>
          <w:sz w:val="24"/>
          <w:szCs w:val="24"/>
        </w:rPr>
      </w:pPr>
      <w:r>
        <w:rPr>
          <w:rFonts w:ascii="Times New Roman" w:hAnsi="Times New Roman"/>
          <w:sz w:val="24"/>
          <w:szCs w:val="24"/>
        </w:rPr>
        <w:lastRenderedPageBreak/>
        <w:t xml:space="preserve">The recipient has the responsibility to obtain from </w:t>
      </w:r>
      <w:r w:rsidR="002C70AB">
        <w:rPr>
          <w:rFonts w:ascii="Times New Roman" w:hAnsi="Times New Roman"/>
          <w:sz w:val="24"/>
          <w:szCs w:val="24"/>
        </w:rPr>
        <w:t>sub-recipient</w:t>
      </w:r>
      <w:r>
        <w:rPr>
          <w:rFonts w:ascii="Times New Roman" w:hAnsi="Times New Roman"/>
          <w:sz w:val="24"/>
          <w:szCs w:val="24"/>
        </w:rPr>
        <w:t xml:space="preserve">s, contractors and </w:t>
      </w:r>
      <w:r w:rsidR="0055715D">
        <w:rPr>
          <w:rFonts w:ascii="Times New Roman" w:hAnsi="Times New Roman"/>
          <w:sz w:val="24"/>
          <w:szCs w:val="24"/>
        </w:rPr>
        <w:t>s</w:t>
      </w:r>
      <w:r>
        <w:rPr>
          <w:rFonts w:ascii="Times New Roman" w:hAnsi="Times New Roman"/>
          <w:sz w:val="24"/>
          <w:szCs w:val="24"/>
        </w:rPr>
        <w:t>ub</w:t>
      </w:r>
      <w:r w:rsidR="0055715D">
        <w:rPr>
          <w:rFonts w:ascii="Times New Roman" w:hAnsi="Times New Roman"/>
          <w:sz w:val="24"/>
          <w:szCs w:val="24"/>
        </w:rPr>
        <w:t>-</w:t>
      </w:r>
      <w:r w:rsidR="0055715D">
        <w:rPr>
          <w:rFonts w:ascii="Times New Roman" w:hAnsi="Times New Roman"/>
          <w:sz w:val="24"/>
          <w:szCs w:val="24"/>
        </w:rPr>
        <w:tab/>
      </w:r>
      <w:r>
        <w:rPr>
          <w:rFonts w:ascii="Times New Roman" w:hAnsi="Times New Roman"/>
          <w:sz w:val="24"/>
          <w:szCs w:val="24"/>
        </w:rPr>
        <w:t>contractors (if any) all rights and data necessary to fulfill the recipient’s obligations</w:t>
      </w:r>
      <w:r w:rsidR="0055715D">
        <w:rPr>
          <w:rFonts w:ascii="Times New Roman" w:hAnsi="Times New Roman"/>
          <w:sz w:val="24"/>
          <w:szCs w:val="24"/>
        </w:rPr>
        <w:t xml:space="preserve"> </w:t>
      </w:r>
      <w:r>
        <w:rPr>
          <w:rFonts w:ascii="Times New Roman" w:hAnsi="Times New Roman"/>
          <w:sz w:val="24"/>
          <w:szCs w:val="24"/>
        </w:rPr>
        <w:t xml:space="preserve">to the </w:t>
      </w:r>
      <w:r w:rsidR="0055715D">
        <w:rPr>
          <w:rFonts w:ascii="Times New Roman" w:hAnsi="Times New Roman"/>
          <w:sz w:val="24"/>
          <w:szCs w:val="24"/>
        </w:rPr>
        <w:tab/>
      </w:r>
      <w:r>
        <w:rPr>
          <w:rFonts w:ascii="Times New Roman" w:hAnsi="Times New Roman"/>
          <w:sz w:val="24"/>
          <w:szCs w:val="24"/>
        </w:rPr>
        <w:t xml:space="preserve">Government under this award.  If a proposed </w:t>
      </w:r>
      <w:r w:rsidR="002C70AB">
        <w:rPr>
          <w:rFonts w:ascii="Times New Roman" w:hAnsi="Times New Roman"/>
          <w:sz w:val="24"/>
          <w:szCs w:val="24"/>
        </w:rPr>
        <w:t>sub-recipient</w:t>
      </w:r>
      <w:r>
        <w:rPr>
          <w:rFonts w:ascii="Times New Roman" w:hAnsi="Times New Roman"/>
          <w:sz w:val="24"/>
          <w:szCs w:val="24"/>
        </w:rPr>
        <w:t>, contractor, or sub</w:t>
      </w:r>
      <w:r w:rsidR="0055715D">
        <w:rPr>
          <w:rFonts w:ascii="Times New Roman" w:hAnsi="Times New Roman"/>
          <w:sz w:val="24"/>
          <w:szCs w:val="24"/>
        </w:rPr>
        <w:t>-</w:t>
      </w:r>
      <w:r w:rsidR="0055715D">
        <w:rPr>
          <w:rFonts w:ascii="Times New Roman" w:hAnsi="Times New Roman"/>
          <w:sz w:val="24"/>
          <w:szCs w:val="24"/>
        </w:rPr>
        <w:tab/>
      </w:r>
      <w:r>
        <w:rPr>
          <w:rFonts w:ascii="Times New Roman" w:hAnsi="Times New Roman"/>
          <w:sz w:val="24"/>
          <w:szCs w:val="24"/>
        </w:rPr>
        <w:t xml:space="preserve">contractor refuses to accept terms affording the Government such rights, the recipient </w:t>
      </w:r>
      <w:r w:rsidR="0055715D">
        <w:rPr>
          <w:rFonts w:ascii="Times New Roman" w:hAnsi="Times New Roman"/>
          <w:sz w:val="24"/>
          <w:szCs w:val="24"/>
        </w:rPr>
        <w:tab/>
      </w:r>
      <w:r>
        <w:rPr>
          <w:rFonts w:ascii="Times New Roman" w:hAnsi="Times New Roman"/>
          <w:sz w:val="24"/>
          <w:szCs w:val="24"/>
        </w:rPr>
        <w:t xml:space="preserve">shall promptly bring such refusal to the attention of the ONDCP program manager for the </w:t>
      </w:r>
      <w:r w:rsidR="0055715D">
        <w:rPr>
          <w:rFonts w:ascii="Times New Roman" w:hAnsi="Times New Roman"/>
          <w:sz w:val="24"/>
          <w:szCs w:val="24"/>
        </w:rPr>
        <w:tab/>
      </w:r>
      <w:r>
        <w:rPr>
          <w:rFonts w:ascii="Times New Roman" w:hAnsi="Times New Roman"/>
          <w:sz w:val="24"/>
          <w:szCs w:val="24"/>
        </w:rPr>
        <w:t xml:space="preserve">award and dot proceed with the agreement in question without further authorization from </w:t>
      </w:r>
      <w:r w:rsidR="0055715D">
        <w:rPr>
          <w:rFonts w:ascii="Times New Roman" w:hAnsi="Times New Roman"/>
          <w:sz w:val="24"/>
          <w:szCs w:val="24"/>
        </w:rPr>
        <w:tab/>
      </w:r>
      <w:r>
        <w:rPr>
          <w:rFonts w:ascii="Times New Roman" w:hAnsi="Times New Roman"/>
          <w:sz w:val="24"/>
          <w:szCs w:val="24"/>
        </w:rPr>
        <w:t>the ONDCP program office.</w:t>
      </w:r>
    </w:p>
    <w:p w14:paraId="7857A1B3" w14:textId="77777777" w:rsidR="003B38A0" w:rsidRDefault="003B38A0" w:rsidP="00242BA4">
      <w:pPr>
        <w:rPr>
          <w:rFonts w:ascii="Times New Roman" w:hAnsi="Times New Roman"/>
          <w:sz w:val="24"/>
          <w:szCs w:val="24"/>
        </w:rPr>
      </w:pPr>
    </w:p>
    <w:p w14:paraId="61906058" w14:textId="1336AC7B" w:rsidR="00971268" w:rsidRPr="00971268" w:rsidRDefault="00971268" w:rsidP="00DF686C">
      <w:pPr>
        <w:numPr>
          <w:ilvl w:val="0"/>
          <w:numId w:val="12"/>
        </w:numPr>
        <w:rPr>
          <w:rFonts w:ascii="Times New Roman" w:hAnsi="Times New Roman"/>
          <w:sz w:val="24"/>
          <w:szCs w:val="24"/>
        </w:rPr>
      </w:pPr>
      <w:r w:rsidRPr="00971268">
        <w:rPr>
          <w:rFonts w:ascii="Times New Roman" w:hAnsi="Times New Roman"/>
          <w:sz w:val="24"/>
          <w:szCs w:val="24"/>
        </w:rPr>
        <w:t>Grantee will not be reimbursed under the grant for any salary in excess of the rate of the Executive Level 1 for work performed under this grant.</w:t>
      </w:r>
    </w:p>
    <w:p w14:paraId="3383A847" w14:textId="77777777" w:rsidR="00971268" w:rsidRPr="00971268" w:rsidRDefault="00971268" w:rsidP="00971268">
      <w:pPr>
        <w:ind w:left="360"/>
        <w:rPr>
          <w:rFonts w:ascii="Times New Roman" w:hAnsi="Times New Roman"/>
          <w:sz w:val="24"/>
          <w:szCs w:val="24"/>
        </w:rPr>
      </w:pPr>
    </w:p>
    <w:p w14:paraId="01087329" w14:textId="77777777" w:rsidR="006810C8" w:rsidRDefault="003B38A0" w:rsidP="00DF686C">
      <w:pPr>
        <w:numPr>
          <w:ilvl w:val="0"/>
          <w:numId w:val="12"/>
        </w:numPr>
        <w:rPr>
          <w:rFonts w:ascii="Times New Roman" w:hAnsi="Times New Roman"/>
          <w:sz w:val="24"/>
          <w:szCs w:val="24"/>
        </w:rPr>
      </w:pPr>
      <w:r w:rsidRPr="00971268">
        <w:rPr>
          <w:rFonts w:ascii="Times New Roman" w:hAnsi="Times New Roman"/>
          <w:sz w:val="24"/>
          <w:szCs w:val="24"/>
        </w:rPr>
        <w:t xml:space="preserve">Approval of this award </w:t>
      </w:r>
      <w:r w:rsidR="00EB5519" w:rsidRPr="00971268">
        <w:rPr>
          <w:rFonts w:ascii="Times New Roman" w:hAnsi="Times New Roman"/>
          <w:sz w:val="24"/>
          <w:szCs w:val="24"/>
        </w:rPr>
        <w:t xml:space="preserve">excludes reimbursement of consultant rates exceeding </w:t>
      </w:r>
      <w:r w:rsidRPr="00971268">
        <w:rPr>
          <w:rFonts w:ascii="Times New Roman" w:hAnsi="Times New Roman"/>
          <w:sz w:val="24"/>
          <w:szCs w:val="24"/>
        </w:rPr>
        <w:t>the daily equivalent of the rate of pay payable under level IV of the Executive Schedule under section 5311 of Title 5 of the United States Code.</w:t>
      </w:r>
      <w:r w:rsidR="00E25829" w:rsidRPr="00971268">
        <w:rPr>
          <w:rFonts w:ascii="Times New Roman" w:hAnsi="Times New Roman"/>
          <w:sz w:val="24"/>
          <w:szCs w:val="24"/>
        </w:rPr>
        <w:t xml:space="preserve"> </w:t>
      </w:r>
    </w:p>
    <w:p w14:paraId="54E358B2" w14:textId="3ADD6D2F" w:rsidR="00E25829" w:rsidRPr="00971268" w:rsidRDefault="00DF686C" w:rsidP="006810C8">
      <w:pPr>
        <w:ind w:left="720"/>
        <w:rPr>
          <w:rFonts w:ascii="Times New Roman" w:hAnsi="Times New Roman"/>
          <w:sz w:val="24"/>
          <w:szCs w:val="24"/>
        </w:rPr>
      </w:pPr>
      <w:r w:rsidRPr="00971268">
        <w:rPr>
          <w:rFonts w:ascii="Times New Roman" w:hAnsi="Times New Roman"/>
          <w:sz w:val="24"/>
          <w:szCs w:val="24"/>
        </w:rPr>
        <w:t xml:space="preserve">See </w:t>
      </w:r>
      <w:r w:rsidRPr="00971268">
        <w:rPr>
          <w:rFonts w:ascii="Times New Roman" w:hAnsi="Times New Roman"/>
          <w:i/>
          <w:sz w:val="24"/>
          <w:szCs w:val="24"/>
        </w:rPr>
        <w:t>Contractor Compensation Cap per Statutory Formula</w:t>
      </w:r>
      <w:r w:rsidRPr="00971268">
        <w:rPr>
          <w:rFonts w:ascii="Times New Roman" w:hAnsi="Times New Roman"/>
          <w:sz w:val="24"/>
          <w:szCs w:val="24"/>
        </w:rPr>
        <w:t xml:space="preserve"> discussion at</w:t>
      </w:r>
      <w:r w:rsidR="006810C8">
        <w:rPr>
          <w:rFonts w:ascii="Times New Roman" w:hAnsi="Times New Roman"/>
          <w:sz w:val="24"/>
          <w:szCs w:val="24"/>
        </w:rPr>
        <w:t>;</w:t>
      </w:r>
      <w:r w:rsidRPr="00971268">
        <w:rPr>
          <w:rFonts w:ascii="Times New Roman" w:hAnsi="Times New Roman"/>
          <w:sz w:val="24"/>
          <w:szCs w:val="24"/>
        </w:rPr>
        <w:t xml:space="preserve"> </w:t>
      </w:r>
      <w:hyperlink r:id="rId11" w:history="1">
        <w:r w:rsidR="00971268" w:rsidRPr="00971268">
          <w:rPr>
            <w:rStyle w:val="Hyperlink"/>
            <w:rFonts w:ascii="Times New Roman" w:hAnsi="Times New Roman"/>
            <w:sz w:val="24"/>
            <w:szCs w:val="24"/>
          </w:rPr>
          <w:t>https://www.whitehouse.gov/omb/procurement_index_exec_comp</w:t>
        </w:r>
      </w:hyperlink>
      <w:r w:rsidRPr="00971268">
        <w:rPr>
          <w:rFonts w:ascii="Times New Roman" w:hAnsi="Times New Roman"/>
          <w:sz w:val="24"/>
          <w:szCs w:val="24"/>
        </w:rPr>
        <w:t xml:space="preserve"> </w:t>
      </w:r>
    </w:p>
    <w:p w14:paraId="30CE8A7E" w14:textId="77777777" w:rsidR="00437AA1" w:rsidRPr="00437AA1" w:rsidRDefault="00437AA1" w:rsidP="00437AA1">
      <w:pPr>
        <w:rPr>
          <w:rFonts w:ascii="Times New Roman" w:hAnsi="Times New Roman"/>
          <w:sz w:val="24"/>
          <w:szCs w:val="24"/>
        </w:rPr>
      </w:pPr>
    </w:p>
    <w:p w14:paraId="7EA3D7D7" w14:textId="21CB85BB" w:rsidR="00437AA1" w:rsidRPr="00437AA1" w:rsidRDefault="00437AA1" w:rsidP="00437AA1">
      <w:pPr>
        <w:numPr>
          <w:ilvl w:val="0"/>
          <w:numId w:val="12"/>
        </w:numPr>
        <w:tabs>
          <w:tab w:val="left" w:pos="720"/>
        </w:tabs>
        <w:rPr>
          <w:rFonts w:ascii="Times New Roman" w:hAnsi="Times New Roman"/>
          <w:sz w:val="24"/>
          <w:szCs w:val="24"/>
        </w:rPr>
      </w:pPr>
      <w:r w:rsidRPr="00437AA1">
        <w:rPr>
          <w:rFonts w:ascii="Times New Roman" w:hAnsi="Times New Roman"/>
          <w:sz w:val="24"/>
          <w:szCs w:val="24"/>
        </w:rPr>
        <w:t xml:space="preserve">Accounting Records and Disclosure – </w:t>
      </w:r>
      <w:r w:rsidR="00DF686C" w:rsidRPr="00971268">
        <w:rPr>
          <w:rFonts w:ascii="Times New Roman" w:hAnsi="Times New Roman"/>
          <w:sz w:val="24"/>
          <w:szCs w:val="24"/>
        </w:rPr>
        <w:t>As more particularly described in the Uniform Guidance, a</w:t>
      </w:r>
      <w:r w:rsidRPr="00971268">
        <w:rPr>
          <w:rFonts w:ascii="Times New Roman" w:hAnsi="Times New Roman"/>
          <w:sz w:val="24"/>
          <w:szCs w:val="24"/>
        </w:rPr>
        <w:t>wardees and sub-recipients mu</w:t>
      </w:r>
      <w:r w:rsidRPr="00437AA1">
        <w:rPr>
          <w:rFonts w:ascii="Times New Roman" w:hAnsi="Times New Roman"/>
          <w:sz w:val="24"/>
          <w:szCs w:val="24"/>
        </w:rPr>
        <w:t>st maintain records which adequately identify the source and application of funds provided for financially assisted activities.  These records must contain information pertaining to grant or sub</w:t>
      </w:r>
      <w:r w:rsidR="0055715D">
        <w:rPr>
          <w:rFonts w:ascii="Times New Roman" w:hAnsi="Times New Roman"/>
          <w:sz w:val="24"/>
          <w:szCs w:val="24"/>
        </w:rPr>
        <w:t>-</w:t>
      </w:r>
      <w:r w:rsidRPr="00437AA1">
        <w:rPr>
          <w:rFonts w:ascii="Times New Roman" w:hAnsi="Times New Roman"/>
          <w:sz w:val="24"/>
          <w:szCs w:val="24"/>
        </w:rPr>
        <w:t xml:space="preserve">grant awards and authorizations, obligations, unobligated balances, assets, liabilities, outlays or expenditures, and income.  </w:t>
      </w:r>
    </w:p>
    <w:p w14:paraId="6E9C4BAA" w14:textId="77777777" w:rsidR="00437AA1" w:rsidRPr="00437AA1" w:rsidRDefault="00437AA1" w:rsidP="00437AA1">
      <w:pPr>
        <w:rPr>
          <w:rFonts w:ascii="Times New Roman" w:hAnsi="Times New Roman"/>
          <w:sz w:val="24"/>
          <w:szCs w:val="24"/>
        </w:rPr>
      </w:pPr>
    </w:p>
    <w:p w14:paraId="663A103F" w14:textId="53A6D79A" w:rsidR="001466D3" w:rsidRPr="001466D3" w:rsidRDefault="003B38A0" w:rsidP="001466D3">
      <w:pPr>
        <w:pStyle w:val="ListParagraph"/>
        <w:numPr>
          <w:ilvl w:val="0"/>
          <w:numId w:val="12"/>
        </w:numPr>
        <w:rPr>
          <w:rFonts w:ascii="Times New Roman" w:hAnsi="Times New Roman"/>
          <w:sz w:val="24"/>
          <w:szCs w:val="24"/>
        </w:rPr>
      </w:pPr>
      <w:r w:rsidRPr="001466D3">
        <w:rPr>
          <w:rFonts w:ascii="Times New Roman" w:hAnsi="Times New Roman"/>
          <w:sz w:val="24"/>
          <w:szCs w:val="24"/>
        </w:rPr>
        <w:t xml:space="preserve">A </w:t>
      </w:r>
      <w:r w:rsidR="00437AA1" w:rsidRPr="001466D3">
        <w:rPr>
          <w:rFonts w:ascii="Times New Roman" w:hAnsi="Times New Roman"/>
          <w:sz w:val="24"/>
          <w:szCs w:val="24"/>
        </w:rPr>
        <w:t>Programmatic Report is due on a semi-annual basis.</w:t>
      </w:r>
    </w:p>
    <w:p w14:paraId="1DF79529" w14:textId="77777777" w:rsidR="001466D3" w:rsidRPr="001466D3" w:rsidRDefault="001466D3" w:rsidP="001466D3">
      <w:pPr>
        <w:pStyle w:val="ListParagraph"/>
        <w:rPr>
          <w:rFonts w:ascii="Times New Roman" w:hAnsi="Times New Roman"/>
          <w:sz w:val="24"/>
          <w:szCs w:val="24"/>
        </w:rPr>
      </w:pPr>
    </w:p>
    <w:p w14:paraId="00E135B0" w14:textId="5C8E2178" w:rsidR="003B38A0" w:rsidRPr="001466D3" w:rsidRDefault="003B38A0" w:rsidP="001466D3">
      <w:pPr>
        <w:pStyle w:val="ListParagraph"/>
        <w:numPr>
          <w:ilvl w:val="0"/>
          <w:numId w:val="12"/>
        </w:numPr>
        <w:rPr>
          <w:rFonts w:ascii="Times New Roman" w:hAnsi="Times New Roman"/>
          <w:sz w:val="24"/>
          <w:szCs w:val="24"/>
        </w:rPr>
      </w:pPr>
      <w:r w:rsidRPr="001466D3">
        <w:rPr>
          <w:rFonts w:ascii="Times New Roman" w:hAnsi="Times New Roman"/>
          <w:sz w:val="24"/>
          <w:szCs w:val="24"/>
        </w:rPr>
        <w:t>Within 45 days after the end of any conference, meeting, retreat, seminar, symposium, training activity, or similar event</w:t>
      </w:r>
      <w:r w:rsidR="00710A4B" w:rsidRPr="001466D3">
        <w:rPr>
          <w:rFonts w:ascii="Times New Roman" w:hAnsi="Times New Roman"/>
          <w:sz w:val="24"/>
          <w:szCs w:val="24"/>
        </w:rPr>
        <w:t xml:space="preserve"> funded under this award, the total cost of which exceeds </w:t>
      </w:r>
      <w:r w:rsidR="001466D3" w:rsidRPr="001466D3">
        <w:rPr>
          <w:rFonts w:ascii="Times New Roman" w:hAnsi="Times New Roman"/>
          <w:sz w:val="24"/>
          <w:szCs w:val="24"/>
        </w:rPr>
        <w:t>$</w:t>
      </w:r>
      <w:r w:rsidR="00710A4B" w:rsidRPr="001466D3">
        <w:rPr>
          <w:rFonts w:ascii="Times New Roman" w:hAnsi="Times New Roman"/>
          <w:sz w:val="24"/>
          <w:szCs w:val="24"/>
        </w:rPr>
        <w:t xml:space="preserve">20,000.00 in award funds, the recipient must provide the </w:t>
      </w:r>
      <w:r w:rsidR="00E738E4" w:rsidRPr="001466D3">
        <w:rPr>
          <w:rFonts w:ascii="Times New Roman" w:hAnsi="Times New Roman"/>
          <w:sz w:val="24"/>
          <w:szCs w:val="24"/>
        </w:rPr>
        <w:t>grant</w:t>
      </w:r>
      <w:r w:rsidR="00710A4B" w:rsidRPr="001466D3">
        <w:rPr>
          <w:rFonts w:ascii="Times New Roman" w:hAnsi="Times New Roman"/>
          <w:sz w:val="24"/>
          <w:szCs w:val="24"/>
        </w:rPr>
        <w:t xml:space="preserve"> manager with the following information and itemized costs:</w:t>
      </w:r>
    </w:p>
    <w:p w14:paraId="5AD55829" w14:textId="77777777" w:rsidR="00710A4B" w:rsidRDefault="00710A4B" w:rsidP="00242BA4">
      <w:pPr>
        <w:rPr>
          <w:rFonts w:ascii="Times New Roman" w:hAnsi="Times New Roman"/>
          <w:sz w:val="24"/>
          <w:szCs w:val="24"/>
        </w:rPr>
      </w:pPr>
    </w:p>
    <w:p w14:paraId="45A3F1B7" w14:textId="4EC1281E" w:rsidR="00710A4B" w:rsidRPr="00E6566A" w:rsidRDefault="00710A4B" w:rsidP="00E6566A">
      <w:pPr>
        <w:pStyle w:val="ListParagraph"/>
        <w:numPr>
          <w:ilvl w:val="1"/>
          <w:numId w:val="12"/>
        </w:numPr>
        <w:rPr>
          <w:rFonts w:ascii="Times New Roman" w:hAnsi="Times New Roman"/>
          <w:sz w:val="24"/>
          <w:szCs w:val="24"/>
        </w:rPr>
      </w:pPr>
      <w:r w:rsidRPr="00E6566A">
        <w:rPr>
          <w:rFonts w:ascii="Times New Roman" w:hAnsi="Times New Roman"/>
          <w:sz w:val="24"/>
          <w:szCs w:val="24"/>
        </w:rPr>
        <w:t>name of event;</w:t>
      </w:r>
    </w:p>
    <w:p w14:paraId="3D7CD019" w14:textId="34307E1C" w:rsidR="00710A4B" w:rsidRPr="00E6566A" w:rsidRDefault="00710A4B" w:rsidP="00E6566A">
      <w:pPr>
        <w:pStyle w:val="ListParagraph"/>
        <w:numPr>
          <w:ilvl w:val="1"/>
          <w:numId w:val="12"/>
        </w:numPr>
        <w:rPr>
          <w:rFonts w:ascii="Times New Roman" w:hAnsi="Times New Roman"/>
          <w:sz w:val="24"/>
          <w:szCs w:val="24"/>
        </w:rPr>
      </w:pPr>
      <w:r w:rsidRPr="00E6566A">
        <w:rPr>
          <w:rFonts w:ascii="Times New Roman" w:hAnsi="Times New Roman"/>
          <w:sz w:val="24"/>
          <w:szCs w:val="24"/>
        </w:rPr>
        <w:t>event dates;</w:t>
      </w:r>
    </w:p>
    <w:p w14:paraId="78482805" w14:textId="04C644A4" w:rsidR="00710A4B" w:rsidRPr="00E6566A" w:rsidRDefault="00710A4B" w:rsidP="00E6566A">
      <w:pPr>
        <w:pStyle w:val="ListParagraph"/>
        <w:numPr>
          <w:ilvl w:val="1"/>
          <w:numId w:val="12"/>
        </w:numPr>
        <w:rPr>
          <w:rFonts w:ascii="Times New Roman" w:hAnsi="Times New Roman"/>
          <w:sz w:val="24"/>
          <w:szCs w:val="24"/>
        </w:rPr>
      </w:pPr>
      <w:r w:rsidRPr="00E6566A">
        <w:rPr>
          <w:rFonts w:ascii="Times New Roman" w:hAnsi="Times New Roman"/>
          <w:sz w:val="24"/>
          <w:szCs w:val="24"/>
        </w:rPr>
        <w:t>location of event;</w:t>
      </w:r>
    </w:p>
    <w:p w14:paraId="033438F6" w14:textId="19B5E3CC" w:rsidR="00710A4B" w:rsidRPr="00E6566A" w:rsidRDefault="00710A4B" w:rsidP="00E6566A">
      <w:pPr>
        <w:pStyle w:val="ListParagraph"/>
        <w:numPr>
          <w:ilvl w:val="1"/>
          <w:numId w:val="12"/>
        </w:numPr>
        <w:rPr>
          <w:rFonts w:ascii="Times New Roman" w:hAnsi="Times New Roman"/>
          <w:sz w:val="24"/>
          <w:szCs w:val="24"/>
        </w:rPr>
      </w:pPr>
      <w:r w:rsidRPr="00E6566A">
        <w:rPr>
          <w:rFonts w:ascii="Times New Roman" w:hAnsi="Times New Roman"/>
          <w:sz w:val="24"/>
          <w:szCs w:val="24"/>
        </w:rPr>
        <w:t>number of Federal attendees;</w:t>
      </w:r>
    </w:p>
    <w:p w14:paraId="0579F3A3" w14:textId="0637AAED" w:rsidR="00710A4B" w:rsidRPr="00E6566A" w:rsidRDefault="00710A4B" w:rsidP="00E6566A">
      <w:pPr>
        <w:pStyle w:val="ListParagraph"/>
        <w:numPr>
          <w:ilvl w:val="1"/>
          <w:numId w:val="12"/>
        </w:numPr>
        <w:rPr>
          <w:rFonts w:ascii="Times New Roman" w:hAnsi="Times New Roman"/>
          <w:sz w:val="24"/>
          <w:szCs w:val="24"/>
        </w:rPr>
      </w:pPr>
      <w:r w:rsidRPr="00E6566A">
        <w:rPr>
          <w:rFonts w:ascii="Times New Roman" w:hAnsi="Times New Roman"/>
          <w:sz w:val="24"/>
          <w:szCs w:val="24"/>
        </w:rPr>
        <w:t>number of non-Federal attendees;</w:t>
      </w:r>
    </w:p>
    <w:p w14:paraId="32846585" w14:textId="53DD31F3" w:rsidR="00710A4B" w:rsidRPr="00E6566A" w:rsidRDefault="00710A4B" w:rsidP="00E6566A">
      <w:pPr>
        <w:pStyle w:val="ListParagraph"/>
        <w:numPr>
          <w:ilvl w:val="1"/>
          <w:numId w:val="12"/>
        </w:numPr>
        <w:rPr>
          <w:rFonts w:ascii="Times New Roman" w:hAnsi="Times New Roman"/>
          <w:sz w:val="24"/>
          <w:szCs w:val="24"/>
        </w:rPr>
      </w:pPr>
      <w:r w:rsidRPr="00E6566A">
        <w:rPr>
          <w:rFonts w:ascii="Times New Roman" w:hAnsi="Times New Roman"/>
          <w:sz w:val="24"/>
          <w:szCs w:val="24"/>
        </w:rPr>
        <w:t>cost of event space, including rooms for break-out sessions;</w:t>
      </w:r>
    </w:p>
    <w:p w14:paraId="1C377DB8" w14:textId="69523446" w:rsidR="00710A4B" w:rsidRPr="00E6566A" w:rsidRDefault="00710A4B" w:rsidP="00E6566A">
      <w:pPr>
        <w:pStyle w:val="ListParagraph"/>
        <w:numPr>
          <w:ilvl w:val="1"/>
          <w:numId w:val="12"/>
        </w:numPr>
        <w:rPr>
          <w:rFonts w:ascii="Times New Roman" w:hAnsi="Times New Roman"/>
          <w:sz w:val="24"/>
          <w:szCs w:val="24"/>
        </w:rPr>
      </w:pPr>
      <w:r w:rsidRPr="00E6566A">
        <w:rPr>
          <w:rFonts w:ascii="Times New Roman" w:hAnsi="Times New Roman"/>
          <w:sz w:val="24"/>
          <w:szCs w:val="24"/>
        </w:rPr>
        <w:t>costs of audio visual services;</w:t>
      </w:r>
    </w:p>
    <w:p w14:paraId="17DEC158" w14:textId="0AA35373" w:rsidR="00710A4B" w:rsidRPr="00E6566A" w:rsidRDefault="00710A4B" w:rsidP="00E6566A">
      <w:pPr>
        <w:pStyle w:val="ListParagraph"/>
        <w:numPr>
          <w:ilvl w:val="1"/>
          <w:numId w:val="12"/>
        </w:numPr>
        <w:rPr>
          <w:rFonts w:ascii="Times New Roman" w:hAnsi="Times New Roman"/>
          <w:sz w:val="24"/>
          <w:szCs w:val="24"/>
        </w:rPr>
      </w:pPr>
      <w:r w:rsidRPr="00E6566A">
        <w:rPr>
          <w:rFonts w:ascii="Times New Roman" w:hAnsi="Times New Roman"/>
          <w:sz w:val="24"/>
          <w:szCs w:val="24"/>
        </w:rPr>
        <w:t>other equipment costs (e.g., computer fees, telephone fees);</w:t>
      </w:r>
    </w:p>
    <w:p w14:paraId="57ABFF5B" w14:textId="76EB7C87" w:rsidR="00710A4B" w:rsidRPr="00E6566A" w:rsidRDefault="00710A4B" w:rsidP="00E6566A">
      <w:pPr>
        <w:pStyle w:val="ListParagraph"/>
        <w:numPr>
          <w:ilvl w:val="1"/>
          <w:numId w:val="12"/>
        </w:numPr>
        <w:rPr>
          <w:rFonts w:ascii="Times New Roman" w:hAnsi="Times New Roman"/>
          <w:sz w:val="24"/>
          <w:szCs w:val="24"/>
        </w:rPr>
      </w:pPr>
      <w:r w:rsidRPr="00E6566A">
        <w:rPr>
          <w:rFonts w:ascii="Times New Roman" w:hAnsi="Times New Roman"/>
          <w:sz w:val="24"/>
          <w:szCs w:val="24"/>
        </w:rPr>
        <w:t>costs of printing and distribution;</w:t>
      </w:r>
    </w:p>
    <w:p w14:paraId="7C7038F5" w14:textId="3E2FD0FD" w:rsidR="00710A4B" w:rsidRPr="00E6566A" w:rsidRDefault="00710A4B" w:rsidP="00E6566A">
      <w:pPr>
        <w:pStyle w:val="ListParagraph"/>
        <w:numPr>
          <w:ilvl w:val="1"/>
          <w:numId w:val="12"/>
        </w:numPr>
        <w:rPr>
          <w:rFonts w:ascii="Times New Roman" w:hAnsi="Times New Roman"/>
          <w:sz w:val="24"/>
          <w:szCs w:val="24"/>
        </w:rPr>
      </w:pPr>
      <w:r w:rsidRPr="00E6566A">
        <w:rPr>
          <w:rFonts w:ascii="Times New Roman" w:hAnsi="Times New Roman"/>
          <w:sz w:val="24"/>
          <w:szCs w:val="24"/>
        </w:rPr>
        <w:t>costs of meals provided during the event;</w:t>
      </w:r>
    </w:p>
    <w:p w14:paraId="784610ED" w14:textId="333414A8" w:rsidR="00710A4B" w:rsidRPr="00E6566A" w:rsidRDefault="00710A4B" w:rsidP="00E6566A">
      <w:pPr>
        <w:pStyle w:val="ListParagraph"/>
        <w:numPr>
          <w:ilvl w:val="1"/>
          <w:numId w:val="12"/>
        </w:numPr>
        <w:rPr>
          <w:rFonts w:ascii="Times New Roman" w:hAnsi="Times New Roman"/>
          <w:sz w:val="24"/>
          <w:szCs w:val="24"/>
        </w:rPr>
      </w:pPr>
      <w:r w:rsidRPr="00E6566A">
        <w:rPr>
          <w:rFonts w:ascii="Times New Roman" w:hAnsi="Times New Roman"/>
          <w:sz w:val="24"/>
          <w:szCs w:val="24"/>
        </w:rPr>
        <w:t>costs of refreshments provided during the event;</w:t>
      </w:r>
    </w:p>
    <w:p w14:paraId="3304531A" w14:textId="3F82A685" w:rsidR="00710A4B" w:rsidRPr="00E6566A" w:rsidRDefault="00710A4B" w:rsidP="00E6566A">
      <w:pPr>
        <w:pStyle w:val="ListParagraph"/>
        <w:numPr>
          <w:ilvl w:val="1"/>
          <w:numId w:val="12"/>
        </w:numPr>
        <w:rPr>
          <w:rFonts w:ascii="Times New Roman" w:hAnsi="Times New Roman"/>
          <w:sz w:val="24"/>
          <w:szCs w:val="24"/>
        </w:rPr>
      </w:pPr>
      <w:r w:rsidRPr="00E6566A">
        <w:rPr>
          <w:rFonts w:ascii="Times New Roman" w:hAnsi="Times New Roman"/>
          <w:sz w:val="24"/>
          <w:szCs w:val="24"/>
        </w:rPr>
        <w:t>costs for event planner;</w:t>
      </w:r>
    </w:p>
    <w:p w14:paraId="47F4E1CA" w14:textId="44AF59A5" w:rsidR="00710A4B" w:rsidRPr="00E6566A" w:rsidRDefault="00710A4B" w:rsidP="00E6566A">
      <w:pPr>
        <w:pStyle w:val="ListParagraph"/>
        <w:numPr>
          <w:ilvl w:val="1"/>
          <w:numId w:val="12"/>
        </w:numPr>
        <w:rPr>
          <w:rFonts w:ascii="Times New Roman" w:hAnsi="Times New Roman"/>
          <w:sz w:val="24"/>
          <w:szCs w:val="24"/>
        </w:rPr>
      </w:pPr>
      <w:r w:rsidRPr="00E6566A">
        <w:rPr>
          <w:rFonts w:ascii="Times New Roman" w:hAnsi="Times New Roman"/>
          <w:sz w:val="24"/>
          <w:szCs w:val="24"/>
        </w:rPr>
        <w:t>costs for event facilitators; and</w:t>
      </w:r>
    </w:p>
    <w:p w14:paraId="1886D7F4" w14:textId="520D07A1" w:rsidR="00710A4B" w:rsidRPr="00E6566A" w:rsidRDefault="00710A4B" w:rsidP="00E6566A">
      <w:pPr>
        <w:pStyle w:val="ListParagraph"/>
        <w:numPr>
          <w:ilvl w:val="1"/>
          <w:numId w:val="12"/>
        </w:numPr>
        <w:rPr>
          <w:rFonts w:ascii="Times New Roman" w:hAnsi="Times New Roman"/>
          <w:sz w:val="24"/>
          <w:szCs w:val="24"/>
        </w:rPr>
      </w:pPr>
      <w:r w:rsidRPr="00E6566A">
        <w:rPr>
          <w:rFonts w:ascii="Times New Roman" w:hAnsi="Times New Roman"/>
          <w:sz w:val="24"/>
          <w:szCs w:val="24"/>
        </w:rPr>
        <w:t>any other costs associated with the event.</w:t>
      </w:r>
    </w:p>
    <w:p w14:paraId="08176FC1" w14:textId="77777777" w:rsidR="00710A4B" w:rsidRDefault="00710A4B" w:rsidP="00242BA4">
      <w:pPr>
        <w:rPr>
          <w:rFonts w:ascii="Times New Roman" w:hAnsi="Times New Roman"/>
          <w:sz w:val="24"/>
          <w:szCs w:val="24"/>
        </w:rPr>
      </w:pPr>
    </w:p>
    <w:p w14:paraId="6AD91433" w14:textId="0B6EF88E" w:rsidR="00710A4B" w:rsidRPr="00E6566A" w:rsidRDefault="00710A4B" w:rsidP="00E6566A">
      <w:pPr>
        <w:ind w:left="720"/>
        <w:rPr>
          <w:rFonts w:ascii="Times New Roman" w:hAnsi="Times New Roman"/>
          <w:sz w:val="24"/>
          <w:szCs w:val="24"/>
        </w:rPr>
      </w:pPr>
      <w:r w:rsidRPr="00E6566A">
        <w:rPr>
          <w:rFonts w:ascii="Times New Roman" w:hAnsi="Times New Roman"/>
          <w:sz w:val="24"/>
          <w:szCs w:val="24"/>
        </w:rPr>
        <w:lastRenderedPageBreak/>
        <w:t>The recipient must also itemize and report any of the following attendee (including participants, presenters, speakers) costs that are paid or reimbursed with cooperative</w:t>
      </w:r>
      <w:r w:rsidR="00E6566A" w:rsidRPr="00E6566A">
        <w:rPr>
          <w:rFonts w:ascii="Times New Roman" w:hAnsi="Times New Roman"/>
          <w:sz w:val="24"/>
          <w:szCs w:val="24"/>
        </w:rPr>
        <w:t xml:space="preserve"> </w:t>
      </w:r>
      <w:r w:rsidRPr="00E6566A">
        <w:rPr>
          <w:rFonts w:ascii="Times New Roman" w:hAnsi="Times New Roman"/>
          <w:sz w:val="24"/>
          <w:szCs w:val="24"/>
        </w:rPr>
        <w:t>agreement funds:</w:t>
      </w:r>
    </w:p>
    <w:p w14:paraId="24E8CC1C" w14:textId="77777777" w:rsidR="00710A4B" w:rsidRDefault="00710A4B" w:rsidP="00242BA4">
      <w:pPr>
        <w:rPr>
          <w:rFonts w:ascii="Times New Roman" w:hAnsi="Times New Roman"/>
          <w:sz w:val="24"/>
          <w:szCs w:val="24"/>
        </w:rPr>
      </w:pPr>
    </w:p>
    <w:p w14:paraId="11EB1116" w14:textId="4B1B8106" w:rsidR="00216042" w:rsidRPr="00E6566A" w:rsidRDefault="00216042" w:rsidP="00E6566A">
      <w:pPr>
        <w:pStyle w:val="ListParagraph"/>
        <w:numPr>
          <w:ilvl w:val="0"/>
          <w:numId w:val="24"/>
        </w:numPr>
        <w:ind w:left="1632"/>
        <w:rPr>
          <w:rFonts w:ascii="Times New Roman" w:hAnsi="Times New Roman"/>
          <w:sz w:val="24"/>
          <w:szCs w:val="24"/>
        </w:rPr>
      </w:pPr>
      <w:r w:rsidRPr="00E6566A">
        <w:rPr>
          <w:rFonts w:ascii="Times New Roman" w:hAnsi="Times New Roman"/>
          <w:sz w:val="24"/>
          <w:szCs w:val="24"/>
        </w:rPr>
        <w:t>meals and incidental expenses (M&amp;IE portion of per diem);</w:t>
      </w:r>
    </w:p>
    <w:p w14:paraId="01FB3457" w14:textId="2B7A9338" w:rsidR="00216042" w:rsidRPr="00E6566A" w:rsidRDefault="00216042" w:rsidP="00E6566A">
      <w:pPr>
        <w:pStyle w:val="ListParagraph"/>
        <w:numPr>
          <w:ilvl w:val="0"/>
          <w:numId w:val="24"/>
        </w:numPr>
        <w:ind w:left="1632"/>
        <w:rPr>
          <w:rFonts w:ascii="Times New Roman" w:hAnsi="Times New Roman"/>
          <w:sz w:val="24"/>
          <w:szCs w:val="24"/>
        </w:rPr>
      </w:pPr>
      <w:r w:rsidRPr="00E6566A">
        <w:rPr>
          <w:rFonts w:ascii="Times New Roman" w:hAnsi="Times New Roman"/>
          <w:sz w:val="24"/>
          <w:szCs w:val="24"/>
        </w:rPr>
        <w:t>lodging;</w:t>
      </w:r>
    </w:p>
    <w:p w14:paraId="14487D9E" w14:textId="13B9AEA3" w:rsidR="00216042" w:rsidRPr="00E6566A" w:rsidRDefault="00216042" w:rsidP="00E6566A">
      <w:pPr>
        <w:pStyle w:val="ListParagraph"/>
        <w:numPr>
          <w:ilvl w:val="0"/>
          <w:numId w:val="24"/>
        </w:numPr>
        <w:ind w:left="1632"/>
        <w:rPr>
          <w:rFonts w:ascii="Times New Roman" w:hAnsi="Times New Roman"/>
          <w:sz w:val="24"/>
          <w:szCs w:val="24"/>
        </w:rPr>
      </w:pPr>
      <w:r w:rsidRPr="00E6566A">
        <w:rPr>
          <w:rFonts w:ascii="Times New Roman" w:hAnsi="Times New Roman"/>
          <w:sz w:val="24"/>
          <w:szCs w:val="24"/>
        </w:rPr>
        <w:t>transportation to/from event location (e.g., common carrier, Privately-Owned</w:t>
      </w:r>
      <w:r w:rsidR="00657A53">
        <w:rPr>
          <w:rFonts w:ascii="Times New Roman" w:hAnsi="Times New Roman"/>
          <w:sz w:val="24"/>
          <w:szCs w:val="24"/>
        </w:rPr>
        <w:t xml:space="preserve"> </w:t>
      </w:r>
      <w:r w:rsidRPr="00E6566A">
        <w:rPr>
          <w:rFonts w:ascii="Times New Roman" w:hAnsi="Times New Roman"/>
          <w:sz w:val="24"/>
          <w:szCs w:val="24"/>
        </w:rPr>
        <w:t>Vehicle (POV)); and</w:t>
      </w:r>
    </w:p>
    <w:p w14:paraId="3C07D63D" w14:textId="755219BE" w:rsidR="00216042" w:rsidRPr="00E6566A" w:rsidRDefault="00216042" w:rsidP="00E6566A">
      <w:pPr>
        <w:pStyle w:val="ListParagraph"/>
        <w:numPr>
          <w:ilvl w:val="0"/>
          <w:numId w:val="24"/>
        </w:numPr>
        <w:ind w:left="1632"/>
        <w:rPr>
          <w:rFonts w:ascii="Times New Roman" w:hAnsi="Times New Roman"/>
          <w:sz w:val="24"/>
          <w:szCs w:val="24"/>
        </w:rPr>
      </w:pPr>
      <w:r w:rsidRPr="00E6566A">
        <w:rPr>
          <w:rFonts w:ascii="Times New Roman" w:hAnsi="Times New Roman"/>
          <w:sz w:val="24"/>
          <w:szCs w:val="24"/>
        </w:rPr>
        <w:t>local transportation (e.g., rental car, POV) at the event location.</w:t>
      </w:r>
    </w:p>
    <w:p w14:paraId="13B2B2B6" w14:textId="77777777" w:rsidR="00216042" w:rsidRDefault="00216042" w:rsidP="00242BA4">
      <w:pPr>
        <w:rPr>
          <w:rFonts w:ascii="Times New Roman" w:hAnsi="Times New Roman"/>
          <w:sz w:val="24"/>
          <w:szCs w:val="24"/>
        </w:rPr>
      </w:pPr>
    </w:p>
    <w:p w14:paraId="1BDADE6F" w14:textId="4B2291FA" w:rsidR="00216042" w:rsidRDefault="00216042" w:rsidP="008716A8">
      <w:pPr>
        <w:ind w:left="720"/>
        <w:rPr>
          <w:rFonts w:ascii="Times New Roman" w:hAnsi="Times New Roman"/>
          <w:sz w:val="24"/>
          <w:szCs w:val="24"/>
        </w:rPr>
      </w:pPr>
      <w:r>
        <w:rPr>
          <w:rFonts w:ascii="Times New Roman" w:hAnsi="Times New Roman"/>
          <w:sz w:val="24"/>
          <w:szCs w:val="24"/>
        </w:rPr>
        <w:t>Note that if any item is paid for with registration fees, or any other non-award funding,</w:t>
      </w:r>
      <w:r w:rsidR="008716A8">
        <w:rPr>
          <w:rFonts w:ascii="Times New Roman" w:hAnsi="Times New Roman"/>
          <w:sz w:val="24"/>
          <w:szCs w:val="24"/>
        </w:rPr>
        <w:t xml:space="preserve"> </w:t>
      </w:r>
      <w:r>
        <w:rPr>
          <w:rFonts w:ascii="Times New Roman" w:hAnsi="Times New Roman"/>
          <w:sz w:val="24"/>
          <w:szCs w:val="24"/>
        </w:rPr>
        <w:t>then that portion of the expense does not need to be reported.</w:t>
      </w:r>
    </w:p>
    <w:p w14:paraId="36940E75" w14:textId="77777777" w:rsidR="00216042" w:rsidRDefault="00216042" w:rsidP="00242BA4">
      <w:pPr>
        <w:rPr>
          <w:rFonts w:ascii="Times New Roman" w:hAnsi="Times New Roman"/>
          <w:sz w:val="24"/>
          <w:szCs w:val="24"/>
        </w:rPr>
      </w:pPr>
    </w:p>
    <w:p w14:paraId="2D9F949A" w14:textId="77777777" w:rsidR="003E4C14" w:rsidRPr="0051416D" w:rsidRDefault="00D55A25" w:rsidP="004250DD">
      <w:pPr>
        <w:pStyle w:val="CM14"/>
        <w:numPr>
          <w:ilvl w:val="0"/>
          <w:numId w:val="16"/>
        </w:numPr>
        <w:spacing w:after="252"/>
        <w:rPr>
          <w:bCs/>
        </w:rPr>
      </w:pPr>
      <w:r w:rsidRPr="0051416D">
        <w:rPr>
          <w:b/>
          <w:bCs/>
        </w:rPr>
        <w:t>Federal Award Performance Goals</w:t>
      </w:r>
      <w:r w:rsidRPr="0051416D">
        <w:rPr>
          <w:bCs/>
        </w:rPr>
        <w:t xml:space="preserve"> </w:t>
      </w:r>
    </w:p>
    <w:p w14:paraId="5B067CEA" w14:textId="08C13FDC" w:rsidR="003E4C14" w:rsidRDefault="003E4C14" w:rsidP="003E4C14">
      <w:pPr>
        <w:pStyle w:val="CM14"/>
        <w:spacing w:after="252"/>
        <w:ind w:left="360"/>
        <w:rPr>
          <w:bCs/>
        </w:rPr>
      </w:pPr>
      <w:r>
        <w:rPr>
          <w:bCs/>
        </w:rPr>
        <w:t>Grantee must comply with the financial opportunity announcement and their responding program narrative pertaining to identifying areas for research and model law drafting and such activities will be appropriat</w:t>
      </w:r>
      <w:r w:rsidR="0051416D">
        <w:rPr>
          <w:bCs/>
        </w:rPr>
        <w:t xml:space="preserve">ely reported in Newsletters, and </w:t>
      </w:r>
      <w:r>
        <w:rPr>
          <w:bCs/>
        </w:rPr>
        <w:t>Quarterly</w:t>
      </w:r>
      <w:r w:rsidR="0051416D">
        <w:rPr>
          <w:bCs/>
        </w:rPr>
        <w:t xml:space="preserve"> </w:t>
      </w:r>
      <w:r>
        <w:rPr>
          <w:bCs/>
        </w:rPr>
        <w:t>and Final reports to ONDCP.  Also grantee will collect evaluation data from working group participants and other applicable stakeholders (as proposed in the program narrative) and results of those evaluations will be analyzed and reported through the reporting processes to ONDCP.</w:t>
      </w:r>
    </w:p>
    <w:p w14:paraId="0A12C1F3" w14:textId="5E14B23B" w:rsidR="00DF686C" w:rsidRPr="003E4C14" w:rsidRDefault="00DF686C" w:rsidP="003E4C14">
      <w:pPr>
        <w:pStyle w:val="CM14"/>
        <w:spacing w:after="252"/>
        <w:ind w:left="360"/>
        <w:rPr>
          <w:bCs/>
        </w:rPr>
      </w:pPr>
      <w:r w:rsidRPr="003E4C14">
        <w:rPr>
          <w:bCs/>
        </w:rPr>
        <w:t>See also Section A. 3</w:t>
      </w:r>
    </w:p>
    <w:p w14:paraId="5EFA5117" w14:textId="77777777" w:rsidR="00D55A25" w:rsidRPr="00D55A25" w:rsidRDefault="00A04192" w:rsidP="00D55A25">
      <w:pPr>
        <w:pStyle w:val="CM14"/>
        <w:numPr>
          <w:ilvl w:val="0"/>
          <w:numId w:val="16"/>
        </w:numPr>
        <w:spacing w:after="252"/>
        <w:rPr>
          <w:b/>
          <w:bCs/>
        </w:rPr>
      </w:pPr>
      <w:r w:rsidRPr="00DF56D6">
        <w:rPr>
          <w:b/>
          <w:bCs/>
        </w:rPr>
        <w:t xml:space="preserve">Payment Basis </w:t>
      </w:r>
    </w:p>
    <w:p w14:paraId="4405D6F1" w14:textId="77777777" w:rsidR="000A2A1E" w:rsidRDefault="00A04192" w:rsidP="007D3974">
      <w:pPr>
        <w:pStyle w:val="CM13"/>
        <w:numPr>
          <w:ilvl w:val="0"/>
          <w:numId w:val="10"/>
        </w:numPr>
        <w:spacing w:after="337"/>
        <w:rPr>
          <w:color w:val="000000"/>
        </w:rPr>
      </w:pPr>
      <w:r w:rsidRPr="000A2A1E">
        <w:rPr>
          <w:color w:val="000000"/>
        </w:rPr>
        <w:t xml:space="preserve">A request for Advance or Reimbursement shall be made using the HHS/DPM system (www.dpm.psc.gov). </w:t>
      </w:r>
    </w:p>
    <w:p w14:paraId="2F13B17F" w14:textId="77777777" w:rsidR="00A04192" w:rsidRPr="000A2A1E" w:rsidRDefault="00A04192" w:rsidP="007D3974">
      <w:pPr>
        <w:pStyle w:val="CM13"/>
        <w:numPr>
          <w:ilvl w:val="0"/>
          <w:numId w:val="10"/>
        </w:numPr>
        <w:spacing w:after="337"/>
        <w:rPr>
          <w:color w:val="000000"/>
        </w:rPr>
      </w:pPr>
      <w:r w:rsidRPr="000A2A1E">
        <w:rPr>
          <w:color w:val="000000"/>
        </w:rPr>
        <w:t xml:space="preserve">The grantee, must utilize the </w:t>
      </w:r>
      <w:r w:rsidR="00650434" w:rsidRPr="000A2A1E">
        <w:rPr>
          <w:color w:val="000000"/>
        </w:rPr>
        <w:t xml:space="preserve">object </w:t>
      </w:r>
      <w:r w:rsidR="00D643A8" w:rsidRPr="000A2A1E">
        <w:rPr>
          <w:color w:val="000000"/>
        </w:rPr>
        <w:t>class</w:t>
      </w:r>
      <w:r w:rsidR="00650434" w:rsidRPr="000A2A1E">
        <w:rPr>
          <w:color w:val="000000"/>
        </w:rPr>
        <w:t xml:space="preserve">es specified within the initial grant </w:t>
      </w:r>
      <w:r w:rsidR="00AE739A" w:rsidRPr="000A2A1E">
        <w:rPr>
          <w:color w:val="000000"/>
        </w:rPr>
        <w:t xml:space="preserve">application </w:t>
      </w:r>
      <w:r w:rsidRPr="000A2A1E">
        <w:rPr>
          <w:color w:val="000000"/>
        </w:rPr>
        <w:t xml:space="preserve">each time they submit a disbursement request to </w:t>
      </w:r>
      <w:r w:rsidR="00AE739A" w:rsidRPr="000A2A1E">
        <w:rPr>
          <w:color w:val="000000"/>
        </w:rPr>
        <w:t>ONDCP</w:t>
      </w:r>
      <w:r w:rsidRPr="000A2A1E">
        <w:rPr>
          <w:color w:val="000000"/>
        </w:rPr>
        <w:t xml:space="preserve">. </w:t>
      </w:r>
      <w:r w:rsidR="00EC241D" w:rsidRPr="000A2A1E">
        <w:rPr>
          <w:color w:val="000000"/>
        </w:rPr>
        <w:t xml:space="preserve"> </w:t>
      </w:r>
      <w:r w:rsidRPr="000A2A1E">
        <w:rPr>
          <w:color w:val="000000"/>
        </w:rPr>
        <w:t xml:space="preserve">Requests for payment in the DPM system will not be approved unless the required disbursements have been entered </w:t>
      </w:r>
      <w:r w:rsidR="00AE739A" w:rsidRPr="000A2A1E">
        <w:rPr>
          <w:color w:val="000000"/>
        </w:rPr>
        <w:t>using the corresponding object class designations</w:t>
      </w:r>
      <w:r w:rsidRPr="000A2A1E">
        <w:rPr>
          <w:color w:val="000000"/>
        </w:rPr>
        <w:t xml:space="preserve">. </w:t>
      </w:r>
      <w:r w:rsidR="00EC241D" w:rsidRPr="000A2A1E">
        <w:rPr>
          <w:color w:val="000000"/>
        </w:rPr>
        <w:t xml:space="preserve"> </w:t>
      </w:r>
      <w:r w:rsidRPr="000A2A1E">
        <w:rPr>
          <w:color w:val="000000"/>
        </w:rPr>
        <w:t xml:space="preserve">Payments will be made via Electronic Fund Transfer to the award recipient’s bank account. </w:t>
      </w:r>
      <w:r w:rsidR="00EC241D" w:rsidRPr="000A2A1E">
        <w:rPr>
          <w:color w:val="000000"/>
        </w:rPr>
        <w:t xml:space="preserve"> </w:t>
      </w:r>
      <w:r w:rsidRPr="000A2A1E">
        <w:rPr>
          <w:color w:val="000000"/>
        </w:rPr>
        <w:t xml:space="preserve">The bank must be FDIC insured. </w:t>
      </w:r>
      <w:r w:rsidR="00EC241D" w:rsidRPr="000A2A1E">
        <w:rPr>
          <w:color w:val="000000"/>
        </w:rPr>
        <w:t xml:space="preserve"> </w:t>
      </w:r>
      <w:r w:rsidRPr="000A2A1E">
        <w:rPr>
          <w:color w:val="000000"/>
        </w:rPr>
        <w:t>The account must be interest bearing.</w:t>
      </w:r>
    </w:p>
    <w:p w14:paraId="218D15BA" w14:textId="1865DFC4" w:rsidR="00A04192" w:rsidRPr="00DF56D6" w:rsidRDefault="00A04192" w:rsidP="007D3974">
      <w:pPr>
        <w:pStyle w:val="CM13"/>
        <w:numPr>
          <w:ilvl w:val="0"/>
          <w:numId w:val="10"/>
        </w:numPr>
        <w:spacing w:after="337"/>
        <w:rPr>
          <w:color w:val="000000"/>
        </w:rPr>
      </w:pPr>
      <w:r w:rsidRPr="00DF56D6">
        <w:rPr>
          <w:color w:val="000000"/>
        </w:rPr>
        <w:t>Except for interest earned on advances of funds exempt under the Intergovernmental Cooperation Act (31 U.S.C. 6501 et seq.) and the I</w:t>
      </w:r>
      <w:r w:rsidR="009E519D">
        <w:rPr>
          <w:color w:val="000000"/>
        </w:rPr>
        <w:t>ndian Self-Determination and Education Assistance Act (25</w:t>
      </w:r>
      <w:r w:rsidRPr="00DF56D6">
        <w:rPr>
          <w:color w:val="000000"/>
        </w:rPr>
        <w:t xml:space="preserve"> U.S.C. 450), grantees and sub</w:t>
      </w:r>
      <w:r w:rsidR="00A15E87">
        <w:rPr>
          <w:color w:val="000000"/>
        </w:rPr>
        <w:t>-</w:t>
      </w:r>
      <w:r w:rsidRPr="00DF56D6">
        <w:rPr>
          <w:color w:val="000000"/>
        </w:rPr>
        <w:t xml:space="preserve">grantees shall promptly, but at least quarterly, remit interest earned on advances to HHS/DPM at the address provided below. </w:t>
      </w:r>
      <w:r w:rsidR="00EC241D" w:rsidRPr="00DF56D6">
        <w:rPr>
          <w:color w:val="000000"/>
        </w:rPr>
        <w:t xml:space="preserve"> </w:t>
      </w:r>
      <w:r w:rsidRPr="00DF56D6">
        <w:rPr>
          <w:color w:val="000000"/>
        </w:rPr>
        <w:t xml:space="preserve">When submitting your checks, please provide a detailed explanation which should include: reason for check (remittance of interest earned on </w:t>
      </w:r>
      <w:r w:rsidR="0043578C">
        <w:rPr>
          <w:color w:val="000000"/>
        </w:rPr>
        <w:t>OFDCP</w:t>
      </w:r>
      <w:r w:rsidRPr="00DF56D6">
        <w:rPr>
          <w:color w:val="000000"/>
        </w:rPr>
        <w:t xml:space="preserve"> advance payments), check number, grantee name, grant number, interest period covered, and contact name and number. </w:t>
      </w:r>
    </w:p>
    <w:p w14:paraId="3C874A13" w14:textId="77777777" w:rsidR="005048A9" w:rsidRPr="005048A9" w:rsidRDefault="005048A9" w:rsidP="005048A9">
      <w:pPr>
        <w:autoSpaceDE w:val="0"/>
        <w:autoSpaceDN w:val="0"/>
        <w:adjustRightInd w:val="0"/>
        <w:ind w:left="720"/>
        <w:rPr>
          <w:rFonts w:ascii="Times New Roman" w:hAnsi="Times New Roman"/>
          <w:sz w:val="24"/>
          <w:szCs w:val="24"/>
        </w:rPr>
      </w:pPr>
      <w:r w:rsidRPr="005048A9">
        <w:rPr>
          <w:rFonts w:ascii="Times New Roman" w:hAnsi="Times New Roman"/>
          <w:sz w:val="24"/>
          <w:szCs w:val="24"/>
        </w:rPr>
        <w:t>Ms. Regenia Mitchell</w:t>
      </w:r>
    </w:p>
    <w:p w14:paraId="2D319C03" w14:textId="77777777" w:rsidR="005048A9" w:rsidRPr="005048A9" w:rsidRDefault="005048A9" w:rsidP="005048A9">
      <w:pPr>
        <w:autoSpaceDE w:val="0"/>
        <w:autoSpaceDN w:val="0"/>
        <w:adjustRightInd w:val="0"/>
        <w:ind w:left="720"/>
        <w:rPr>
          <w:rFonts w:ascii="Times New Roman" w:hAnsi="Times New Roman"/>
          <w:sz w:val="24"/>
          <w:szCs w:val="24"/>
        </w:rPr>
      </w:pPr>
      <w:r w:rsidRPr="005048A9">
        <w:rPr>
          <w:rFonts w:ascii="Times New Roman" w:hAnsi="Times New Roman"/>
          <w:sz w:val="24"/>
          <w:szCs w:val="24"/>
        </w:rPr>
        <w:t>Division of Payment Management</w:t>
      </w:r>
    </w:p>
    <w:p w14:paraId="633AE226" w14:textId="77777777" w:rsidR="00C259E7" w:rsidRPr="00C259E7" w:rsidRDefault="005048A9" w:rsidP="005048A9">
      <w:pPr>
        <w:pStyle w:val="CM12"/>
        <w:spacing w:after="120"/>
        <w:ind w:left="720"/>
        <w:rPr>
          <w:sz w:val="23"/>
          <w:szCs w:val="23"/>
        </w:rPr>
      </w:pPr>
      <w:r>
        <w:lastRenderedPageBreak/>
        <w:t>Department of Health and Human Services</w:t>
      </w:r>
    </w:p>
    <w:p w14:paraId="6502BB72" w14:textId="77777777" w:rsidR="007D3974" w:rsidRPr="00DF56D6" w:rsidRDefault="007D3974" w:rsidP="007D3974">
      <w:pPr>
        <w:pStyle w:val="CM12"/>
        <w:ind w:left="403" w:firstLine="360"/>
        <w:rPr>
          <w:color w:val="000000"/>
          <w:sz w:val="23"/>
          <w:szCs w:val="23"/>
        </w:rPr>
        <w:sectPr w:rsidR="007D3974" w:rsidRPr="00DF56D6" w:rsidSect="007D3974">
          <w:headerReference w:type="default" r:id="rId12"/>
          <w:pgSz w:w="12240" w:h="16340"/>
          <w:pgMar w:top="1440" w:right="1440" w:bottom="1440" w:left="1440" w:header="720" w:footer="720" w:gutter="0"/>
          <w:cols w:space="720"/>
          <w:noEndnote/>
          <w:docGrid w:linePitch="272"/>
        </w:sectPr>
      </w:pPr>
    </w:p>
    <w:p w14:paraId="34DDF6FB" w14:textId="77777777" w:rsidR="007D3974" w:rsidRPr="00DF56D6" w:rsidRDefault="007D3974" w:rsidP="007D3974">
      <w:pPr>
        <w:pStyle w:val="Default"/>
        <w:spacing w:after="120"/>
        <w:ind w:left="403" w:firstLine="360"/>
        <w:rPr>
          <w:sz w:val="23"/>
          <w:szCs w:val="23"/>
        </w:rPr>
      </w:pPr>
      <w:r w:rsidRPr="00DF56D6">
        <w:rPr>
          <w:sz w:val="23"/>
          <w:szCs w:val="23"/>
          <w:u w:val="single"/>
        </w:rPr>
        <w:lastRenderedPageBreak/>
        <w:t>Via U.S. Postal Mail</w:t>
      </w:r>
      <w:r w:rsidRPr="00DF56D6">
        <w:rPr>
          <w:sz w:val="23"/>
          <w:szCs w:val="23"/>
        </w:rPr>
        <w:t xml:space="preserve">: </w:t>
      </w:r>
    </w:p>
    <w:p w14:paraId="4258CA9C" w14:textId="77777777" w:rsidR="007D3974" w:rsidRPr="00DF56D6" w:rsidRDefault="007D3974" w:rsidP="007D3974">
      <w:pPr>
        <w:pStyle w:val="Default"/>
        <w:ind w:left="403" w:firstLine="360"/>
        <w:rPr>
          <w:sz w:val="23"/>
          <w:szCs w:val="23"/>
        </w:rPr>
      </w:pPr>
      <w:r w:rsidRPr="00DF56D6">
        <w:rPr>
          <w:sz w:val="23"/>
          <w:szCs w:val="23"/>
        </w:rPr>
        <w:t>P.O. Box 6021</w:t>
      </w:r>
    </w:p>
    <w:p w14:paraId="63618AD3" w14:textId="77777777" w:rsidR="007D3974" w:rsidRPr="00DF56D6" w:rsidRDefault="007D3974" w:rsidP="007D3974">
      <w:pPr>
        <w:pStyle w:val="Default"/>
        <w:ind w:left="403" w:firstLine="360"/>
        <w:rPr>
          <w:sz w:val="23"/>
          <w:szCs w:val="23"/>
        </w:rPr>
      </w:pPr>
      <w:r w:rsidRPr="00DF56D6">
        <w:rPr>
          <w:sz w:val="23"/>
          <w:szCs w:val="23"/>
        </w:rPr>
        <w:t>Rockville, MD 20852</w:t>
      </w:r>
    </w:p>
    <w:p w14:paraId="3017BDC9" w14:textId="77777777" w:rsidR="007D3974" w:rsidRPr="00DF56D6" w:rsidRDefault="007D3974" w:rsidP="007D3974">
      <w:pPr>
        <w:pStyle w:val="Default"/>
        <w:rPr>
          <w:sz w:val="23"/>
          <w:szCs w:val="23"/>
        </w:rPr>
      </w:pPr>
    </w:p>
    <w:p w14:paraId="19D88889" w14:textId="77777777" w:rsidR="007D3974" w:rsidRPr="00DF56D6" w:rsidRDefault="007D3974" w:rsidP="007D3974">
      <w:pPr>
        <w:pStyle w:val="Default"/>
        <w:rPr>
          <w:sz w:val="23"/>
          <w:szCs w:val="23"/>
        </w:rPr>
      </w:pPr>
      <w:r w:rsidRPr="00DF56D6">
        <w:rPr>
          <w:sz w:val="23"/>
          <w:szCs w:val="23"/>
          <w:u w:val="single"/>
        </w:rPr>
        <w:lastRenderedPageBreak/>
        <w:t>Via FedEx</w:t>
      </w:r>
      <w:r w:rsidRPr="00DF56D6">
        <w:rPr>
          <w:sz w:val="23"/>
          <w:szCs w:val="23"/>
        </w:rPr>
        <w:t>:</w:t>
      </w:r>
    </w:p>
    <w:p w14:paraId="22FAB24F" w14:textId="77777777" w:rsidR="007D3974" w:rsidRPr="00DF56D6" w:rsidRDefault="007D3974" w:rsidP="007D3974">
      <w:pPr>
        <w:pStyle w:val="Default"/>
        <w:spacing w:before="120"/>
        <w:rPr>
          <w:sz w:val="23"/>
          <w:szCs w:val="23"/>
        </w:rPr>
      </w:pPr>
      <w:r w:rsidRPr="00DF56D6">
        <w:rPr>
          <w:sz w:val="23"/>
          <w:szCs w:val="23"/>
        </w:rPr>
        <w:t>7700 Wisconsin Avenue, 10th Floor</w:t>
      </w:r>
    </w:p>
    <w:p w14:paraId="06973F91" w14:textId="77777777" w:rsidR="007D3974" w:rsidRPr="00DF56D6" w:rsidRDefault="007D3974" w:rsidP="007D3974">
      <w:pPr>
        <w:pStyle w:val="Default"/>
        <w:rPr>
          <w:sz w:val="23"/>
          <w:szCs w:val="23"/>
        </w:rPr>
      </w:pPr>
      <w:r w:rsidRPr="00DF56D6">
        <w:rPr>
          <w:sz w:val="23"/>
          <w:szCs w:val="23"/>
        </w:rPr>
        <w:t>Bethesda, MD 20814</w:t>
      </w:r>
    </w:p>
    <w:p w14:paraId="736E605C" w14:textId="77777777" w:rsidR="007D3974" w:rsidRPr="00DF56D6" w:rsidRDefault="007D3974" w:rsidP="007D3974">
      <w:pPr>
        <w:pStyle w:val="Default"/>
      </w:pPr>
    </w:p>
    <w:p w14:paraId="6C739C96" w14:textId="77777777" w:rsidR="007D3974" w:rsidRPr="00DF56D6" w:rsidRDefault="007D3974" w:rsidP="007D3974">
      <w:pPr>
        <w:pStyle w:val="Default"/>
        <w:sectPr w:rsidR="007D3974" w:rsidRPr="00DF56D6" w:rsidSect="007D3974">
          <w:type w:val="continuous"/>
          <w:pgSz w:w="12240" w:h="16340"/>
          <w:pgMar w:top="1440" w:right="1440" w:bottom="1440" w:left="1440" w:header="720" w:footer="720" w:gutter="0"/>
          <w:cols w:num="2" w:space="720" w:equalWidth="0">
            <w:col w:w="3600" w:space="720"/>
            <w:col w:w="5040"/>
          </w:cols>
          <w:noEndnote/>
          <w:docGrid w:linePitch="272"/>
        </w:sectPr>
      </w:pPr>
    </w:p>
    <w:p w14:paraId="2A4B0760" w14:textId="77777777" w:rsidR="00A04192" w:rsidRPr="00DF56D6" w:rsidRDefault="00A04192" w:rsidP="007D3974">
      <w:pPr>
        <w:pStyle w:val="CM13"/>
        <w:numPr>
          <w:ilvl w:val="0"/>
          <w:numId w:val="10"/>
        </w:numPr>
        <w:spacing w:after="337"/>
        <w:rPr>
          <w:color w:val="000000"/>
        </w:rPr>
      </w:pPr>
      <w:r w:rsidRPr="00DF56D6">
        <w:rPr>
          <w:color w:val="000000"/>
        </w:rPr>
        <w:lastRenderedPageBreak/>
        <w:t>The grantee or sub</w:t>
      </w:r>
      <w:r w:rsidR="007434F1">
        <w:rPr>
          <w:color w:val="000000"/>
        </w:rPr>
        <w:t>-</w:t>
      </w:r>
      <w:r w:rsidRPr="00DF56D6">
        <w:rPr>
          <w:color w:val="000000"/>
        </w:rPr>
        <w:t>grantee may keep interest amounts up to $</w:t>
      </w:r>
      <w:r w:rsidR="007434F1">
        <w:rPr>
          <w:color w:val="000000"/>
        </w:rPr>
        <w:t>5</w:t>
      </w:r>
      <w:r w:rsidRPr="00DF56D6">
        <w:rPr>
          <w:color w:val="000000"/>
        </w:rPr>
        <w:t xml:space="preserve">00 per year for administrative purposes. </w:t>
      </w:r>
    </w:p>
    <w:p w14:paraId="1B66C279" w14:textId="77777777" w:rsidR="000A4378" w:rsidRDefault="000A4378">
      <w:pPr>
        <w:pStyle w:val="CM12"/>
        <w:spacing w:after="175"/>
        <w:jc w:val="both"/>
        <w:rPr>
          <w:b/>
          <w:bCs/>
          <w:color w:val="000000"/>
          <w:sz w:val="28"/>
          <w:szCs w:val="28"/>
        </w:rPr>
      </w:pPr>
    </w:p>
    <w:sectPr w:rsidR="000A4378" w:rsidSect="007D3974">
      <w:type w:val="continuous"/>
      <w:pgSz w:w="12240" w:h="163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0C7A0" w14:textId="77777777" w:rsidR="009263DA" w:rsidRDefault="009263DA" w:rsidP="007D3974">
      <w:r>
        <w:separator/>
      </w:r>
    </w:p>
  </w:endnote>
  <w:endnote w:type="continuationSeparator" w:id="0">
    <w:p w14:paraId="0E4E147F" w14:textId="77777777" w:rsidR="009263DA" w:rsidRDefault="009263DA" w:rsidP="007D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CA4D9" w14:textId="77777777" w:rsidR="009263DA" w:rsidRDefault="009263DA" w:rsidP="007D3974">
      <w:r>
        <w:separator/>
      </w:r>
    </w:p>
  </w:footnote>
  <w:footnote w:type="continuationSeparator" w:id="0">
    <w:p w14:paraId="4D7637BC" w14:textId="77777777" w:rsidR="009263DA" w:rsidRDefault="009263DA" w:rsidP="007D3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20716" w14:textId="1D8B6D29" w:rsidR="00437AA1" w:rsidRPr="000A2A1E" w:rsidRDefault="00345599">
    <w:pPr>
      <w:pStyle w:val="Header"/>
      <w:jc w:val="right"/>
      <w:rPr>
        <w:rFonts w:ascii="Times New Roman" w:hAnsi="Times New Roman"/>
        <w:sz w:val="24"/>
        <w:szCs w:val="24"/>
      </w:rPr>
    </w:pPr>
    <w:r>
      <w:rPr>
        <w:rFonts w:ascii="Times New Roman" w:hAnsi="Times New Roman"/>
        <w:sz w:val="24"/>
        <w:szCs w:val="24"/>
      </w:rPr>
      <w:t>Omni-circular Compliant Terms and Conditions</w:t>
    </w:r>
  </w:p>
  <w:p w14:paraId="7556C1C3" w14:textId="2F21179A" w:rsidR="00437AA1" w:rsidRDefault="00437AA1">
    <w:pPr>
      <w:pStyle w:val="Header"/>
      <w:jc w:val="right"/>
      <w:rPr>
        <w:rFonts w:ascii="Times New Roman" w:hAnsi="Times New Roman"/>
        <w:sz w:val="24"/>
        <w:szCs w:val="24"/>
      </w:rPr>
    </w:pPr>
    <w:r>
      <w:rPr>
        <w:rFonts w:ascii="Times New Roman" w:hAnsi="Times New Roman"/>
        <w:sz w:val="24"/>
        <w:szCs w:val="24"/>
      </w:rPr>
      <w:t xml:space="preserve">Page </w:t>
    </w:r>
    <w:r w:rsidRPr="007D3974">
      <w:rPr>
        <w:rFonts w:ascii="Times New Roman" w:hAnsi="Times New Roman"/>
        <w:sz w:val="24"/>
        <w:szCs w:val="24"/>
      </w:rPr>
      <w:fldChar w:fldCharType="begin"/>
    </w:r>
    <w:r w:rsidRPr="007D3974">
      <w:rPr>
        <w:rFonts w:ascii="Times New Roman" w:hAnsi="Times New Roman"/>
        <w:sz w:val="24"/>
        <w:szCs w:val="24"/>
      </w:rPr>
      <w:instrText xml:space="preserve"> PAGE   \* MERGEFORMAT </w:instrText>
    </w:r>
    <w:r w:rsidRPr="007D3974">
      <w:rPr>
        <w:rFonts w:ascii="Times New Roman" w:hAnsi="Times New Roman"/>
        <w:sz w:val="24"/>
        <w:szCs w:val="24"/>
      </w:rPr>
      <w:fldChar w:fldCharType="separate"/>
    </w:r>
    <w:r w:rsidR="00555EB9">
      <w:rPr>
        <w:rFonts w:ascii="Times New Roman" w:hAnsi="Times New Roman"/>
        <w:noProof/>
        <w:sz w:val="24"/>
        <w:szCs w:val="24"/>
      </w:rPr>
      <w:t>3</w:t>
    </w:r>
    <w:r w:rsidRPr="007D3974">
      <w:rPr>
        <w:rFonts w:ascii="Times New Roman" w:hAnsi="Times New Roman"/>
        <w:sz w:val="24"/>
        <w:szCs w:val="24"/>
      </w:rPr>
      <w:fldChar w:fldCharType="end"/>
    </w:r>
    <w:r>
      <w:rPr>
        <w:rFonts w:ascii="Times New Roman" w:hAnsi="Times New Roman"/>
        <w:sz w:val="24"/>
        <w:szCs w:val="24"/>
      </w:rPr>
      <w:t xml:space="preserve"> of </w:t>
    </w:r>
    <w:r w:rsidR="00A27AD4">
      <w:rPr>
        <w:rFonts w:ascii="Times New Roman" w:hAnsi="Times New Roman"/>
        <w:sz w:val="24"/>
        <w:szCs w:val="24"/>
      </w:rPr>
      <w:t>9</w:t>
    </w:r>
  </w:p>
  <w:p w14:paraId="1C544FE7" w14:textId="77777777" w:rsidR="00437AA1" w:rsidRPr="007D3974" w:rsidRDefault="00437AA1">
    <w:pPr>
      <w:pStyle w:val="Header"/>
      <w:jc w:val="right"/>
      <w:rPr>
        <w:rFonts w:ascii="Times New Roman" w:hAnsi="Times New Roman"/>
        <w:sz w:val="24"/>
        <w:szCs w:val="24"/>
      </w:rPr>
    </w:pPr>
  </w:p>
  <w:p w14:paraId="698A0058" w14:textId="77777777" w:rsidR="00437AA1" w:rsidRDefault="00437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3BFFEB"/>
    <w:multiLevelType w:val="hybridMultilevel"/>
    <w:tmpl w:val="4F75F29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CEEB9E6"/>
    <w:multiLevelType w:val="hybridMultilevel"/>
    <w:tmpl w:val="7EBB6C8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E82F42"/>
    <w:multiLevelType w:val="hybridMultilevel"/>
    <w:tmpl w:val="980A1F7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EC730C"/>
    <w:multiLevelType w:val="hybridMultilevel"/>
    <w:tmpl w:val="83C21A9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98233BA"/>
    <w:multiLevelType w:val="hybridMultilevel"/>
    <w:tmpl w:val="32C8860E"/>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5">
    <w:nsid w:val="329AF809"/>
    <w:multiLevelType w:val="hybridMultilevel"/>
    <w:tmpl w:val="473096E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4C403D6"/>
    <w:multiLevelType w:val="hybridMultilevel"/>
    <w:tmpl w:val="A52AE482"/>
    <w:lvl w:ilvl="0" w:tplc="0409000F">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7">
    <w:nsid w:val="36CC7761"/>
    <w:multiLevelType w:val="hybridMultilevel"/>
    <w:tmpl w:val="8B663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07A45"/>
    <w:multiLevelType w:val="hybridMultilevel"/>
    <w:tmpl w:val="6F4C1F64"/>
    <w:lvl w:ilvl="0" w:tplc="9F4CAF1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714A6"/>
    <w:multiLevelType w:val="hybridMultilevel"/>
    <w:tmpl w:val="698C941A"/>
    <w:lvl w:ilvl="0" w:tplc="3FBA4F70">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0">
    <w:nsid w:val="3B417114"/>
    <w:multiLevelType w:val="hybridMultilevel"/>
    <w:tmpl w:val="DD549D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E708B7"/>
    <w:multiLevelType w:val="hybridMultilevel"/>
    <w:tmpl w:val="60D3A10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40FD6BEE"/>
    <w:multiLevelType w:val="hybridMultilevel"/>
    <w:tmpl w:val="698C941A"/>
    <w:lvl w:ilvl="0" w:tplc="3FBA4F70">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48676951"/>
    <w:multiLevelType w:val="hybridMultilevel"/>
    <w:tmpl w:val="2BACCD3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DE1871"/>
    <w:multiLevelType w:val="hybridMultilevel"/>
    <w:tmpl w:val="C6589748"/>
    <w:lvl w:ilvl="0" w:tplc="0409000F">
      <w:start w:val="1"/>
      <w:numFmt w:val="decimal"/>
      <w:lvlText w:val="%1."/>
      <w:lvlJc w:val="left"/>
      <w:pPr>
        <w:tabs>
          <w:tab w:val="num" w:pos="720"/>
        </w:tabs>
        <w:ind w:left="720" w:hanging="360"/>
      </w:pPr>
      <w:rPr>
        <w:rFonts w:hint="default"/>
      </w:rPr>
    </w:lvl>
    <w:lvl w:ilvl="1" w:tplc="3CB0B33A">
      <w:start w:val="1"/>
      <w:numFmt w:val="decimal"/>
      <w:lvlText w:val="(%2)"/>
      <w:lvlJc w:val="left"/>
      <w:pPr>
        <w:ind w:left="1536" w:hanging="45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27546A"/>
    <w:multiLevelType w:val="hybridMultilevel"/>
    <w:tmpl w:val="EA3470F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2665E4"/>
    <w:multiLevelType w:val="hybridMultilevel"/>
    <w:tmpl w:val="6BB46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E9525B"/>
    <w:multiLevelType w:val="hybridMultilevel"/>
    <w:tmpl w:val="C61463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576F1B"/>
    <w:multiLevelType w:val="hybridMultilevel"/>
    <w:tmpl w:val="7988B9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AF1392"/>
    <w:multiLevelType w:val="hybridMultilevel"/>
    <w:tmpl w:val="4BA8DC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6F6B86"/>
    <w:multiLevelType w:val="hybridMultilevel"/>
    <w:tmpl w:val="18FCE6B8"/>
    <w:lvl w:ilvl="0" w:tplc="53066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843165"/>
    <w:multiLevelType w:val="multilevel"/>
    <w:tmpl w:val="A588E6B2"/>
    <w:lvl w:ilvl="0">
      <w:start w:val="3"/>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72344C1"/>
    <w:multiLevelType w:val="hybridMultilevel"/>
    <w:tmpl w:val="BC14E662"/>
    <w:lvl w:ilvl="0" w:tplc="F29A94FE">
      <w:start w:val="1"/>
      <w:numFmt w:val="upperLetter"/>
      <w:lvlText w:val="%1."/>
      <w:lvlJc w:val="left"/>
      <w:pPr>
        <w:ind w:hanging="294"/>
        <w:jc w:val="right"/>
      </w:pPr>
      <w:rPr>
        <w:rFonts w:ascii="Times New Roman" w:eastAsia="Times New Roman" w:hAnsi="Times New Roman" w:hint="default"/>
        <w:b/>
        <w:bCs/>
        <w:sz w:val="24"/>
        <w:szCs w:val="24"/>
      </w:rPr>
    </w:lvl>
    <w:lvl w:ilvl="1" w:tplc="4AD89FC2">
      <w:start w:val="1"/>
      <w:numFmt w:val="decimal"/>
      <w:lvlText w:val="%2."/>
      <w:lvlJc w:val="left"/>
      <w:pPr>
        <w:ind w:hanging="261"/>
        <w:jc w:val="right"/>
      </w:pPr>
      <w:rPr>
        <w:rFonts w:ascii="Times New Roman" w:eastAsia="Times New Roman" w:hAnsi="Times New Roman" w:hint="default"/>
        <w:sz w:val="24"/>
        <w:szCs w:val="24"/>
      </w:rPr>
    </w:lvl>
    <w:lvl w:ilvl="2" w:tplc="806891E0">
      <w:start w:val="1"/>
      <w:numFmt w:val="bullet"/>
      <w:lvlText w:val="•"/>
      <w:lvlJc w:val="left"/>
      <w:pPr>
        <w:ind w:hanging="451"/>
      </w:pPr>
      <w:rPr>
        <w:rFonts w:ascii="Arial" w:eastAsia="Arial" w:hAnsi="Arial" w:hint="default"/>
        <w:w w:val="285"/>
        <w:position w:val="9"/>
        <w:sz w:val="16"/>
        <w:szCs w:val="16"/>
      </w:rPr>
    </w:lvl>
    <w:lvl w:ilvl="3" w:tplc="C186A61E">
      <w:start w:val="1"/>
      <w:numFmt w:val="bullet"/>
      <w:lvlText w:val="•"/>
      <w:lvlJc w:val="left"/>
      <w:rPr>
        <w:rFonts w:hint="default"/>
      </w:rPr>
    </w:lvl>
    <w:lvl w:ilvl="4" w:tplc="384C1D9C">
      <w:start w:val="1"/>
      <w:numFmt w:val="bullet"/>
      <w:lvlText w:val="•"/>
      <w:lvlJc w:val="left"/>
      <w:rPr>
        <w:rFonts w:hint="default"/>
      </w:rPr>
    </w:lvl>
    <w:lvl w:ilvl="5" w:tplc="63AEA74E">
      <w:start w:val="1"/>
      <w:numFmt w:val="bullet"/>
      <w:lvlText w:val="•"/>
      <w:lvlJc w:val="left"/>
      <w:rPr>
        <w:rFonts w:hint="default"/>
      </w:rPr>
    </w:lvl>
    <w:lvl w:ilvl="6" w:tplc="C6BA4FD6">
      <w:start w:val="1"/>
      <w:numFmt w:val="bullet"/>
      <w:lvlText w:val="•"/>
      <w:lvlJc w:val="left"/>
      <w:rPr>
        <w:rFonts w:hint="default"/>
      </w:rPr>
    </w:lvl>
    <w:lvl w:ilvl="7" w:tplc="186AEB04">
      <w:start w:val="1"/>
      <w:numFmt w:val="bullet"/>
      <w:lvlText w:val="•"/>
      <w:lvlJc w:val="left"/>
      <w:rPr>
        <w:rFonts w:hint="default"/>
      </w:rPr>
    </w:lvl>
    <w:lvl w:ilvl="8" w:tplc="98267FAA">
      <w:start w:val="1"/>
      <w:numFmt w:val="bullet"/>
      <w:lvlText w:val="•"/>
      <w:lvlJc w:val="left"/>
      <w:rPr>
        <w:rFonts w:hint="default"/>
      </w:rPr>
    </w:lvl>
  </w:abstractNum>
  <w:abstractNum w:abstractNumId="23">
    <w:nsid w:val="793000E2"/>
    <w:multiLevelType w:val="hybridMultilevel"/>
    <w:tmpl w:val="D9DC4B20"/>
    <w:lvl w:ilvl="0" w:tplc="36A6CA7E">
      <w:start w:val="1"/>
      <w:numFmt w:val="decimal"/>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8709B0"/>
    <w:multiLevelType w:val="hybridMultilevel"/>
    <w:tmpl w:val="E10AB8C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4"/>
  </w:num>
  <w:num w:numId="2">
    <w:abstractNumId w:val="0"/>
  </w:num>
  <w:num w:numId="3">
    <w:abstractNumId w:val="1"/>
  </w:num>
  <w:num w:numId="4">
    <w:abstractNumId w:val="5"/>
  </w:num>
  <w:num w:numId="5">
    <w:abstractNumId w:val="3"/>
  </w:num>
  <w:num w:numId="6">
    <w:abstractNumId w:val="19"/>
  </w:num>
  <w:num w:numId="7">
    <w:abstractNumId w:val="4"/>
  </w:num>
  <w:num w:numId="8">
    <w:abstractNumId w:val="6"/>
  </w:num>
  <w:num w:numId="9">
    <w:abstractNumId w:val="9"/>
  </w:num>
  <w:num w:numId="10">
    <w:abstractNumId w:val="12"/>
  </w:num>
  <w:num w:numId="11">
    <w:abstractNumId w:val="7"/>
  </w:num>
  <w:num w:numId="12">
    <w:abstractNumId w:val="14"/>
  </w:num>
  <w:num w:numId="13">
    <w:abstractNumId w:val="15"/>
  </w:num>
  <w:num w:numId="14">
    <w:abstractNumId w:val="22"/>
  </w:num>
  <w:num w:numId="15">
    <w:abstractNumId w:val="2"/>
  </w:num>
  <w:num w:numId="16">
    <w:abstractNumId w:val="8"/>
  </w:num>
  <w:num w:numId="17">
    <w:abstractNumId w:val="21"/>
  </w:num>
  <w:num w:numId="18">
    <w:abstractNumId w:val="17"/>
  </w:num>
  <w:num w:numId="19">
    <w:abstractNumId w:val="20"/>
  </w:num>
  <w:num w:numId="20">
    <w:abstractNumId w:val="13"/>
  </w:num>
  <w:num w:numId="21">
    <w:abstractNumId w:val="18"/>
  </w:num>
  <w:num w:numId="22">
    <w:abstractNumId w:val="10"/>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E4"/>
    <w:rsid w:val="00044DAD"/>
    <w:rsid w:val="00056821"/>
    <w:rsid w:val="00094C22"/>
    <w:rsid w:val="000A2A1E"/>
    <w:rsid w:val="000A4378"/>
    <w:rsid w:val="000A4758"/>
    <w:rsid w:val="000A6954"/>
    <w:rsid w:val="000B6776"/>
    <w:rsid w:val="000E0302"/>
    <w:rsid w:val="000E1FC9"/>
    <w:rsid w:val="000E27ED"/>
    <w:rsid w:val="00106840"/>
    <w:rsid w:val="00145A37"/>
    <w:rsid w:val="001466D3"/>
    <w:rsid w:val="001556C8"/>
    <w:rsid w:val="001813AF"/>
    <w:rsid w:val="001826DE"/>
    <w:rsid w:val="00195CE0"/>
    <w:rsid w:val="001A2B78"/>
    <w:rsid w:val="001C4449"/>
    <w:rsid w:val="001E4410"/>
    <w:rsid w:val="001E7062"/>
    <w:rsid w:val="001F664B"/>
    <w:rsid w:val="00215ACF"/>
    <w:rsid w:val="00216042"/>
    <w:rsid w:val="0022115E"/>
    <w:rsid w:val="00224E33"/>
    <w:rsid w:val="002252C3"/>
    <w:rsid w:val="00234934"/>
    <w:rsid w:val="00242BA4"/>
    <w:rsid w:val="00247052"/>
    <w:rsid w:val="002572F0"/>
    <w:rsid w:val="002821F7"/>
    <w:rsid w:val="00297631"/>
    <w:rsid w:val="002A14E7"/>
    <w:rsid w:val="002A27BF"/>
    <w:rsid w:val="002C0E1E"/>
    <w:rsid w:val="002C6E03"/>
    <w:rsid w:val="002C70AB"/>
    <w:rsid w:val="002D6FC5"/>
    <w:rsid w:val="002E767A"/>
    <w:rsid w:val="002F624C"/>
    <w:rsid w:val="003003C3"/>
    <w:rsid w:val="0034201E"/>
    <w:rsid w:val="00345599"/>
    <w:rsid w:val="003513AE"/>
    <w:rsid w:val="00360CAB"/>
    <w:rsid w:val="00377CA4"/>
    <w:rsid w:val="003A0393"/>
    <w:rsid w:val="003A40B7"/>
    <w:rsid w:val="003B38A0"/>
    <w:rsid w:val="003D2697"/>
    <w:rsid w:val="003D3FB3"/>
    <w:rsid w:val="003E4C14"/>
    <w:rsid w:val="003E6DB5"/>
    <w:rsid w:val="003F7FB6"/>
    <w:rsid w:val="0042477B"/>
    <w:rsid w:val="00432788"/>
    <w:rsid w:val="0043578C"/>
    <w:rsid w:val="00437AA1"/>
    <w:rsid w:val="00440A09"/>
    <w:rsid w:val="004651E0"/>
    <w:rsid w:val="00492BFC"/>
    <w:rsid w:val="004B1A6C"/>
    <w:rsid w:val="004D5CE2"/>
    <w:rsid w:val="004E1C47"/>
    <w:rsid w:val="004E29FF"/>
    <w:rsid w:val="00500D86"/>
    <w:rsid w:val="005016EF"/>
    <w:rsid w:val="005048A9"/>
    <w:rsid w:val="00506234"/>
    <w:rsid w:val="0051416D"/>
    <w:rsid w:val="00530CF6"/>
    <w:rsid w:val="0053165D"/>
    <w:rsid w:val="00533A4B"/>
    <w:rsid w:val="00535CEC"/>
    <w:rsid w:val="0055230F"/>
    <w:rsid w:val="00555EB9"/>
    <w:rsid w:val="0055715D"/>
    <w:rsid w:val="005573EF"/>
    <w:rsid w:val="005632F0"/>
    <w:rsid w:val="00566CFE"/>
    <w:rsid w:val="00574F76"/>
    <w:rsid w:val="00586921"/>
    <w:rsid w:val="005F0FB2"/>
    <w:rsid w:val="005F2B2D"/>
    <w:rsid w:val="005F65BE"/>
    <w:rsid w:val="0060210E"/>
    <w:rsid w:val="006063BB"/>
    <w:rsid w:val="006247C0"/>
    <w:rsid w:val="0062794E"/>
    <w:rsid w:val="006279CA"/>
    <w:rsid w:val="00627C67"/>
    <w:rsid w:val="00640C60"/>
    <w:rsid w:val="0064384C"/>
    <w:rsid w:val="006468A6"/>
    <w:rsid w:val="00650434"/>
    <w:rsid w:val="006533D0"/>
    <w:rsid w:val="006538CB"/>
    <w:rsid w:val="006564B1"/>
    <w:rsid w:val="00657A53"/>
    <w:rsid w:val="00670AC3"/>
    <w:rsid w:val="00673469"/>
    <w:rsid w:val="00674B19"/>
    <w:rsid w:val="006810C8"/>
    <w:rsid w:val="006D3498"/>
    <w:rsid w:val="006D4D0A"/>
    <w:rsid w:val="006E1436"/>
    <w:rsid w:val="007022B0"/>
    <w:rsid w:val="00710A4B"/>
    <w:rsid w:val="007416C9"/>
    <w:rsid w:val="007434F1"/>
    <w:rsid w:val="00771131"/>
    <w:rsid w:val="00790833"/>
    <w:rsid w:val="00795771"/>
    <w:rsid w:val="007B3E77"/>
    <w:rsid w:val="007D3974"/>
    <w:rsid w:val="007E4786"/>
    <w:rsid w:val="007E66A4"/>
    <w:rsid w:val="007E7399"/>
    <w:rsid w:val="008115D7"/>
    <w:rsid w:val="00814823"/>
    <w:rsid w:val="008346A7"/>
    <w:rsid w:val="0086690C"/>
    <w:rsid w:val="008716A8"/>
    <w:rsid w:val="008B5313"/>
    <w:rsid w:val="008E0CBA"/>
    <w:rsid w:val="008E2821"/>
    <w:rsid w:val="008F3DEF"/>
    <w:rsid w:val="00903D17"/>
    <w:rsid w:val="009263DA"/>
    <w:rsid w:val="00944714"/>
    <w:rsid w:val="009473A0"/>
    <w:rsid w:val="0095357F"/>
    <w:rsid w:val="00960785"/>
    <w:rsid w:val="00960B2E"/>
    <w:rsid w:val="00971268"/>
    <w:rsid w:val="00971269"/>
    <w:rsid w:val="009741DD"/>
    <w:rsid w:val="009906ED"/>
    <w:rsid w:val="00996EAC"/>
    <w:rsid w:val="0099765B"/>
    <w:rsid w:val="009B0C9F"/>
    <w:rsid w:val="009C1F9E"/>
    <w:rsid w:val="009E519D"/>
    <w:rsid w:val="009F0D16"/>
    <w:rsid w:val="009F72F9"/>
    <w:rsid w:val="00A04192"/>
    <w:rsid w:val="00A13882"/>
    <w:rsid w:val="00A15E87"/>
    <w:rsid w:val="00A27AD4"/>
    <w:rsid w:val="00A54461"/>
    <w:rsid w:val="00A850D0"/>
    <w:rsid w:val="00A92CE1"/>
    <w:rsid w:val="00AB7B40"/>
    <w:rsid w:val="00AC2C82"/>
    <w:rsid w:val="00AE099A"/>
    <w:rsid w:val="00AE5EA3"/>
    <w:rsid w:val="00AE739A"/>
    <w:rsid w:val="00AF74AF"/>
    <w:rsid w:val="00B05E42"/>
    <w:rsid w:val="00B161D1"/>
    <w:rsid w:val="00B3165B"/>
    <w:rsid w:val="00B44485"/>
    <w:rsid w:val="00B47101"/>
    <w:rsid w:val="00B70C46"/>
    <w:rsid w:val="00B81F63"/>
    <w:rsid w:val="00B97AE4"/>
    <w:rsid w:val="00BA112A"/>
    <w:rsid w:val="00BB47D6"/>
    <w:rsid w:val="00BC0A94"/>
    <w:rsid w:val="00BD20A2"/>
    <w:rsid w:val="00BE3477"/>
    <w:rsid w:val="00BF16D5"/>
    <w:rsid w:val="00C259E7"/>
    <w:rsid w:val="00C30810"/>
    <w:rsid w:val="00C42716"/>
    <w:rsid w:val="00C55391"/>
    <w:rsid w:val="00C55DC2"/>
    <w:rsid w:val="00C67DFB"/>
    <w:rsid w:val="00C704E4"/>
    <w:rsid w:val="00C73F66"/>
    <w:rsid w:val="00C8608C"/>
    <w:rsid w:val="00C91716"/>
    <w:rsid w:val="00C92E46"/>
    <w:rsid w:val="00CC1EAF"/>
    <w:rsid w:val="00CD7A6C"/>
    <w:rsid w:val="00CD7DFC"/>
    <w:rsid w:val="00CF17D8"/>
    <w:rsid w:val="00D136A3"/>
    <w:rsid w:val="00D20468"/>
    <w:rsid w:val="00D55A25"/>
    <w:rsid w:val="00D55E95"/>
    <w:rsid w:val="00D6130D"/>
    <w:rsid w:val="00D643A8"/>
    <w:rsid w:val="00D66A07"/>
    <w:rsid w:val="00DB10AC"/>
    <w:rsid w:val="00DB4AB2"/>
    <w:rsid w:val="00DE6BC9"/>
    <w:rsid w:val="00DF56D6"/>
    <w:rsid w:val="00DF686C"/>
    <w:rsid w:val="00E251A6"/>
    <w:rsid w:val="00E25829"/>
    <w:rsid w:val="00E40296"/>
    <w:rsid w:val="00E6566A"/>
    <w:rsid w:val="00E738E4"/>
    <w:rsid w:val="00E83D7A"/>
    <w:rsid w:val="00EA12D5"/>
    <w:rsid w:val="00EA7147"/>
    <w:rsid w:val="00EB5519"/>
    <w:rsid w:val="00EC241D"/>
    <w:rsid w:val="00ED2868"/>
    <w:rsid w:val="00ED7A28"/>
    <w:rsid w:val="00F23703"/>
    <w:rsid w:val="00F376D0"/>
    <w:rsid w:val="00F40892"/>
    <w:rsid w:val="00F60D22"/>
    <w:rsid w:val="00F80848"/>
    <w:rsid w:val="00F8456D"/>
    <w:rsid w:val="00F85530"/>
    <w:rsid w:val="00FC0CBA"/>
    <w:rsid w:val="00FC27FB"/>
    <w:rsid w:val="00FF7A0C"/>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A9EF7"/>
  <w15:docId w15:val="{403C4217-252F-4EF2-9ABA-C1CD33C6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04E4"/>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C704E4"/>
    <w:rPr>
      <w:color w:val="auto"/>
    </w:rPr>
  </w:style>
  <w:style w:type="paragraph" w:customStyle="1" w:styleId="CM12">
    <w:name w:val="CM12"/>
    <w:basedOn w:val="Default"/>
    <w:next w:val="Default"/>
    <w:uiPriority w:val="99"/>
    <w:rsid w:val="00C704E4"/>
    <w:rPr>
      <w:color w:val="auto"/>
    </w:rPr>
  </w:style>
  <w:style w:type="paragraph" w:customStyle="1" w:styleId="CM13">
    <w:name w:val="CM13"/>
    <w:basedOn w:val="Default"/>
    <w:next w:val="Default"/>
    <w:uiPriority w:val="99"/>
    <w:rsid w:val="00C704E4"/>
    <w:rPr>
      <w:color w:val="auto"/>
    </w:rPr>
  </w:style>
  <w:style w:type="paragraph" w:customStyle="1" w:styleId="CM14">
    <w:name w:val="CM14"/>
    <w:basedOn w:val="Default"/>
    <w:next w:val="Default"/>
    <w:uiPriority w:val="99"/>
    <w:rsid w:val="00C704E4"/>
    <w:rPr>
      <w:color w:val="auto"/>
    </w:rPr>
  </w:style>
  <w:style w:type="paragraph" w:customStyle="1" w:styleId="CM2">
    <w:name w:val="CM2"/>
    <w:basedOn w:val="Default"/>
    <w:next w:val="Default"/>
    <w:uiPriority w:val="99"/>
    <w:rsid w:val="00C704E4"/>
    <w:pPr>
      <w:spacing w:line="306" w:lineRule="atLeast"/>
    </w:pPr>
    <w:rPr>
      <w:color w:val="auto"/>
    </w:rPr>
  </w:style>
  <w:style w:type="paragraph" w:customStyle="1" w:styleId="CM15">
    <w:name w:val="CM15"/>
    <w:basedOn w:val="Default"/>
    <w:next w:val="Default"/>
    <w:uiPriority w:val="99"/>
    <w:rsid w:val="00C704E4"/>
    <w:rPr>
      <w:color w:val="auto"/>
    </w:rPr>
  </w:style>
  <w:style w:type="paragraph" w:customStyle="1" w:styleId="CM16">
    <w:name w:val="CM16"/>
    <w:basedOn w:val="Default"/>
    <w:next w:val="Default"/>
    <w:uiPriority w:val="99"/>
    <w:rsid w:val="00C704E4"/>
    <w:rPr>
      <w:color w:val="auto"/>
    </w:rPr>
  </w:style>
  <w:style w:type="paragraph" w:customStyle="1" w:styleId="CM17">
    <w:name w:val="CM17"/>
    <w:basedOn w:val="Default"/>
    <w:next w:val="Default"/>
    <w:uiPriority w:val="99"/>
    <w:rsid w:val="00C704E4"/>
    <w:rPr>
      <w:color w:val="auto"/>
    </w:rPr>
  </w:style>
  <w:style w:type="paragraph" w:customStyle="1" w:styleId="CM3">
    <w:name w:val="CM3"/>
    <w:basedOn w:val="Default"/>
    <w:next w:val="Default"/>
    <w:uiPriority w:val="99"/>
    <w:rsid w:val="00C704E4"/>
    <w:pPr>
      <w:spacing w:line="316" w:lineRule="atLeast"/>
    </w:pPr>
    <w:rPr>
      <w:color w:val="auto"/>
    </w:rPr>
  </w:style>
  <w:style w:type="paragraph" w:customStyle="1" w:styleId="CM4">
    <w:name w:val="CM4"/>
    <w:basedOn w:val="Default"/>
    <w:next w:val="Default"/>
    <w:uiPriority w:val="99"/>
    <w:rsid w:val="00C704E4"/>
    <w:pPr>
      <w:spacing w:line="306" w:lineRule="atLeast"/>
    </w:pPr>
    <w:rPr>
      <w:color w:val="auto"/>
    </w:rPr>
  </w:style>
  <w:style w:type="paragraph" w:customStyle="1" w:styleId="CM18">
    <w:name w:val="CM18"/>
    <w:basedOn w:val="Default"/>
    <w:next w:val="Default"/>
    <w:uiPriority w:val="99"/>
    <w:rsid w:val="00C704E4"/>
    <w:rPr>
      <w:color w:val="auto"/>
    </w:rPr>
  </w:style>
  <w:style w:type="paragraph" w:customStyle="1" w:styleId="CM9">
    <w:name w:val="CM9"/>
    <w:basedOn w:val="Default"/>
    <w:next w:val="Default"/>
    <w:uiPriority w:val="99"/>
    <w:rsid w:val="00C704E4"/>
    <w:pPr>
      <w:spacing w:line="268" w:lineRule="atLeast"/>
    </w:pPr>
    <w:rPr>
      <w:color w:val="auto"/>
    </w:rPr>
  </w:style>
  <w:style w:type="paragraph" w:customStyle="1" w:styleId="CM10">
    <w:name w:val="CM10"/>
    <w:basedOn w:val="Default"/>
    <w:next w:val="Default"/>
    <w:uiPriority w:val="99"/>
    <w:rsid w:val="00C704E4"/>
    <w:pPr>
      <w:spacing w:line="313" w:lineRule="atLeast"/>
    </w:pPr>
    <w:rPr>
      <w:color w:val="auto"/>
    </w:rPr>
  </w:style>
  <w:style w:type="paragraph" w:customStyle="1" w:styleId="CM11">
    <w:name w:val="CM11"/>
    <w:basedOn w:val="Default"/>
    <w:next w:val="Default"/>
    <w:uiPriority w:val="99"/>
    <w:rsid w:val="00C704E4"/>
    <w:pPr>
      <w:spacing w:line="368" w:lineRule="atLeast"/>
    </w:pPr>
    <w:rPr>
      <w:color w:val="auto"/>
    </w:rPr>
  </w:style>
  <w:style w:type="paragraph" w:styleId="BalloonText">
    <w:name w:val="Balloon Text"/>
    <w:basedOn w:val="Normal"/>
    <w:link w:val="BalloonTextChar"/>
    <w:uiPriority w:val="99"/>
    <w:semiHidden/>
    <w:unhideWhenUsed/>
    <w:rsid w:val="00811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5D7"/>
    <w:rPr>
      <w:rFonts w:ascii="Tahoma" w:hAnsi="Tahoma" w:cs="Tahoma"/>
      <w:sz w:val="16"/>
      <w:szCs w:val="16"/>
    </w:rPr>
  </w:style>
  <w:style w:type="character" w:styleId="CommentReference">
    <w:name w:val="annotation reference"/>
    <w:basedOn w:val="DefaultParagraphFont"/>
    <w:uiPriority w:val="99"/>
    <w:semiHidden/>
    <w:unhideWhenUsed/>
    <w:rsid w:val="00D20468"/>
    <w:rPr>
      <w:rFonts w:cs="Times New Roman"/>
      <w:sz w:val="16"/>
      <w:szCs w:val="16"/>
    </w:rPr>
  </w:style>
  <w:style w:type="paragraph" w:styleId="CommentText">
    <w:name w:val="annotation text"/>
    <w:basedOn w:val="Normal"/>
    <w:link w:val="CommentTextChar"/>
    <w:uiPriority w:val="99"/>
    <w:semiHidden/>
    <w:unhideWhenUsed/>
    <w:rsid w:val="00D20468"/>
  </w:style>
  <w:style w:type="character" w:customStyle="1" w:styleId="CommentTextChar">
    <w:name w:val="Comment Text Char"/>
    <w:basedOn w:val="DefaultParagraphFont"/>
    <w:link w:val="CommentText"/>
    <w:uiPriority w:val="99"/>
    <w:semiHidden/>
    <w:locked/>
    <w:rsid w:val="00D2046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20468"/>
    <w:rPr>
      <w:b/>
      <w:bCs/>
    </w:rPr>
  </w:style>
  <w:style w:type="character" w:customStyle="1" w:styleId="CommentSubjectChar">
    <w:name w:val="Comment Subject Char"/>
    <w:basedOn w:val="CommentTextChar"/>
    <w:link w:val="CommentSubject"/>
    <w:uiPriority w:val="99"/>
    <w:semiHidden/>
    <w:locked/>
    <w:rsid w:val="00D20468"/>
    <w:rPr>
      <w:rFonts w:cs="Times New Roman"/>
      <w:b/>
      <w:bCs/>
      <w:sz w:val="20"/>
      <w:szCs w:val="20"/>
    </w:rPr>
  </w:style>
  <w:style w:type="table" w:styleId="TableGrid">
    <w:name w:val="Table Grid"/>
    <w:basedOn w:val="TableNormal"/>
    <w:uiPriority w:val="59"/>
    <w:rsid w:val="00D2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974"/>
    <w:pPr>
      <w:tabs>
        <w:tab w:val="center" w:pos="4680"/>
        <w:tab w:val="right" w:pos="9360"/>
      </w:tabs>
    </w:pPr>
  </w:style>
  <w:style w:type="character" w:customStyle="1" w:styleId="HeaderChar">
    <w:name w:val="Header Char"/>
    <w:basedOn w:val="DefaultParagraphFont"/>
    <w:link w:val="Header"/>
    <w:uiPriority w:val="99"/>
    <w:rsid w:val="007D3974"/>
  </w:style>
  <w:style w:type="paragraph" w:styleId="Footer">
    <w:name w:val="footer"/>
    <w:basedOn w:val="Normal"/>
    <w:link w:val="FooterChar"/>
    <w:uiPriority w:val="99"/>
    <w:unhideWhenUsed/>
    <w:rsid w:val="007D3974"/>
    <w:pPr>
      <w:tabs>
        <w:tab w:val="center" w:pos="4680"/>
        <w:tab w:val="right" w:pos="9360"/>
      </w:tabs>
    </w:pPr>
  </w:style>
  <w:style w:type="character" w:customStyle="1" w:styleId="FooterChar">
    <w:name w:val="Footer Char"/>
    <w:basedOn w:val="DefaultParagraphFont"/>
    <w:link w:val="Footer"/>
    <w:uiPriority w:val="99"/>
    <w:rsid w:val="007D3974"/>
  </w:style>
  <w:style w:type="paragraph" w:styleId="ListParagraph">
    <w:name w:val="List Paragraph"/>
    <w:basedOn w:val="Normal"/>
    <w:uiPriority w:val="34"/>
    <w:qFormat/>
    <w:rsid w:val="00437AA1"/>
    <w:pPr>
      <w:ind w:left="720"/>
      <w:contextualSpacing/>
    </w:pPr>
  </w:style>
  <w:style w:type="character" w:styleId="Hyperlink">
    <w:name w:val="Hyperlink"/>
    <w:basedOn w:val="DefaultParagraphFont"/>
    <w:uiPriority w:val="99"/>
    <w:unhideWhenUsed/>
    <w:rsid w:val="00EA12D5"/>
    <w:rPr>
      <w:color w:val="0000FF"/>
      <w:u w:val="single"/>
    </w:rPr>
  </w:style>
  <w:style w:type="paragraph" w:styleId="PlainText">
    <w:name w:val="Plain Text"/>
    <w:basedOn w:val="Normal"/>
    <w:link w:val="PlainTextChar"/>
    <w:uiPriority w:val="99"/>
    <w:unhideWhenUsed/>
    <w:rsid w:val="00EA12D5"/>
    <w:rPr>
      <w:rFonts w:eastAsiaTheme="minorHAnsi"/>
      <w:sz w:val="22"/>
      <w:szCs w:val="22"/>
    </w:rPr>
  </w:style>
  <w:style w:type="character" w:customStyle="1" w:styleId="PlainTextChar">
    <w:name w:val="Plain Text Char"/>
    <w:basedOn w:val="DefaultParagraphFont"/>
    <w:link w:val="PlainText"/>
    <w:uiPriority w:val="99"/>
    <w:rsid w:val="00EA12D5"/>
    <w:rPr>
      <w:rFonts w:eastAsiaTheme="minorHAnsi"/>
      <w:sz w:val="22"/>
      <w:szCs w:val="22"/>
    </w:rPr>
  </w:style>
  <w:style w:type="character" w:styleId="Strong">
    <w:name w:val="Strong"/>
    <w:basedOn w:val="DefaultParagraphFont"/>
    <w:uiPriority w:val="22"/>
    <w:qFormat/>
    <w:rsid w:val="00EA12D5"/>
    <w:rPr>
      <w:b/>
      <w:bCs/>
    </w:rPr>
  </w:style>
  <w:style w:type="paragraph" w:styleId="BodyText">
    <w:name w:val="Body Text"/>
    <w:basedOn w:val="Normal"/>
    <w:link w:val="BodyTextChar"/>
    <w:uiPriority w:val="1"/>
    <w:qFormat/>
    <w:rsid w:val="00CC1EAF"/>
    <w:pPr>
      <w:widowControl w:val="0"/>
      <w:ind w:left="1360"/>
    </w:pPr>
    <w:rPr>
      <w:rFonts w:ascii="Times New Roman" w:hAnsi="Times New Roman" w:cstheme="minorBidi"/>
      <w:sz w:val="24"/>
      <w:szCs w:val="24"/>
    </w:rPr>
  </w:style>
  <w:style w:type="character" w:customStyle="1" w:styleId="BodyTextChar">
    <w:name w:val="Body Text Char"/>
    <w:basedOn w:val="DefaultParagraphFont"/>
    <w:link w:val="BodyText"/>
    <w:uiPriority w:val="1"/>
    <w:rsid w:val="00CC1EAF"/>
    <w:rPr>
      <w:rFonts w:ascii="Times New Roman" w:hAnsi="Times New Roman" w:cstheme="minorBidi"/>
      <w:sz w:val="24"/>
      <w:szCs w:val="24"/>
    </w:rPr>
  </w:style>
  <w:style w:type="paragraph" w:styleId="NormalWeb">
    <w:name w:val="Normal (Web)"/>
    <w:basedOn w:val="Normal"/>
    <w:uiPriority w:val="99"/>
    <w:unhideWhenUsed/>
    <w:rsid w:val="00EB5519"/>
    <w:pPr>
      <w:spacing w:after="192"/>
    </w:pPr>
    <w:rPr>
      <w:rFonts w:ascii="Times New Roman" w:eastAsiaTheme="minorHAnsi"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2464">
      <w:bodyDiv w:val="1"/>
      <w:marLeft w:val="0"/>
      <w:marRight w:val="0"/>
      <w:marTop w:val="0"/>
      <w:marBottom w:val="0"/>
      <w:divBdr>
        <w:top w:val="none" w:sz="0" w:space="0" w:color="auto"/>
        <w:left w:val="none" w:sz="0" w:space="0" w:color="auto"/>
        <w:bottom w:val="none" w:sz="0" w:space="0" w:color="auto"/>
        <w:right w:val="none" w:sz="0" w:space="0" w:color="auto"/>
      </w:divBdr>
    </w:div>
    <w:div w:id="1103572124">
      <w:bodyDiv w:val="1"/>
      <w:marLeft w:val="0"/>
      <w:marRight w:val="0"/>
      <w:marTop w:val="0"/>
      <w:marBottom w:val="0"/>
      <w:divBdr>
        <w:top w:val="none" w:sz="0" w:space="0" w:color="auto"/>
        <w:left w:val="none" w:sz="0" w:space="0" w:color="auto"/>
        <w:bottom w:val="none" w:sz="0" w:space="0" w:color="auto"/>
        <w:right w:val="none" w:sz="0" w:space="0" w:color="auto"/>
      </w:divBdr>
    </w:div>
    <w:div w:id="21235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f.gov/cof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omb/procurement_index_exec_comp" TargetMode="External"/><Relationship Id="rId5" Type="http://schemas.openxmlformats.org/officeDocument/2006/relationships/webSettings" Target="webSettings.xml"/><Relationship Id="rId10" Type="http://schemas.openxmlformats.org/officeDocument/2006/relationships/hyperlink" Target="http://www.whitehouse.gov/ondcp" TargetMode="External"/><Relationship Id="rId4" Type="http://schemas.openxmlformats.org/officeDocument/2006/relationships/settings" Target="settings.xml"/><Relationship Id="rId9" Type="http://schemas.openxmlformats.org/officeDocument/2006/relationships/hyperlink" Target="http://www.gpo.gov/fdsys/pkg/FR-2014-12-19/html/2014-28697.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E1CBA-FEB3-40A1-A33E-023C1F29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2462</Words>
  <Characters>14026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Winnovative PDF Merge for .NET</dc:creator>
  <cp:lastModifiedBy>Newton, Lisa</cp:lastModifiedBy>
  <cp:revision>4</cp:revision>
  <cp:lastPrinted>2015-06-19T14:00:00Z</cp:lastPrinted>
  <dcterms:created xsi:type="dcterms:W3CDTF">2015-06-23T12:12:00Z</dcterms:created>
  <dcterms:modified xsi:type="dcterms:W3CDTF">2015-06-23T12:27:00Z</dcterms:modified>
</cp:coreProperties>
</file>